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D059" w14:textId="21300991" w:rsidR="00E65C7D" w:rsidRPr="007A0EF2" w:rsidRDefault="00E65C7D" w:rsidP="00E65C7D">
      <w:pPr>
        <w:spacing w:after="0"/>
        <w:rPr>
          <w:rFonts w:ascii="Arial" w:hAnsi="Arial" w:cs="Arial"/>
          <w:bCs/>
        </w:rPr>
      </w:pPr>
      <w:r w:rsidRPr="007A0EF2">
        <w:rPr>
          <w:rFonts w:ascii="Arial" w:hAnsi="Arial" w:cs="Arial"/>
          <w:bCs/>
        </w:rPr>
        <w:t xml:space="preserve">Appendix A (to application form for Primary Medical Services Partner Member) </w:t>
      </w:r>
    </w:p>
    <w:p w14:paraId="39CE1ED4" w14:textId="77777777" w:rsidR="00E65C7D" w:rsidRPr="007A0EF2" w:rsidRDefault="00E65C7D" w:rsidP="00E65C7D">
      <w:pPr>
        <w:spacing w:after="0"/>
        <w:rPr>
          <w:rFonts w:ascii="Arial" w:hAnsi="Arial" w:cs="Arial"/>
          <w:b/>
          <w:bCs/>
        </w:rPr>
      </w:pPr>
    </w:p>
    <w:p w14:paraId="454F5044" w14:textId="39896F36" w:rsidR="003924FD" w:rsidRPr="007A0EF2" w:rsidRDefault="00274328" w:rsidP="003924FD">
      <w:pPr>
        <w:spacing w:after="0"/>
        <w:jc w:val="center"/>
        <w:rPr>
          <w:rFonts w:ascii="Arial" w:hAnsi="Arial" w:cs="Arial"/>
          <w:b/>
          <w:bCs/>
        </w:rPr>
      </w:pPr>
      <w:r w:rsidRPr="007A0EF2">
        <w:rPr>
          <w:rFonts w:ascii="Arial" w:hAnsi="Arial" w:cs="Arial"/>
          <w:b/>
          <w:bCs/>
        </w:rPr>
        <w:t xml:space="preserve">NHS </w:t>
      </w:r>
      <w:r w:rsidR="003924FD" w:rsidRPr="007A0EF2">
        <w:rPr>
          <w:rFonts w:ascii="Arial" w:hAnsi="Arial" w:cs="Arial"/>
          <w:b/>
          <w:bCs/>
        </w:rPr>
        <w:t xml:space="preserve">North Central London Integrated Care Board Partner Member </w:t>
      </w:r>
      <w:r w:rsidR="00D328A9" w:rsidRPr="007A0EF2">
        <w:rPr>
          <w:rFonts w:ascii="Arial" w:hAnsi="Arial" w:cs="Arial"/>
          <w:b/>
          <w:bCs/>
        </w:rPr>
        <w:t>Eligibility for Providers of Primary Medical Services</w:t>
      </w:r>
      <w:r w:rsidR="003924FD" w:rsidRPr="007A0EF2">
        <w:rPr>
          <w:rFonts w:ascii="Arial" w:hAnsi="Arial" w:cs="Arial"/>
          <w:b/>
          <w:bCs/>
        </w:rPr>
        <w:t xml:space="preserve"> </w:t>
      </w:r>
    </w:p>
    <w:p w14:paraId="65834ED0" w14:textId="65F9B882" w:rsidR="003924FD" w:rsidRPr="007A0EF2" w:rsidRDefault="003924FD" w:rsidP="003924FD">
      <w:pPr>
        <w:shd w:val="clear" w:color="auto" w:fill="FFFFFF"/>
        <w:spacing w:after="0" w:line="240" w:lineRule="auto"/>
        <w:textAlignment w:val="baseline"/>
        <w:rPr>
          <w:rFonts w:ascii="Arial" w:eastAsia="Times New Roman" w:hAnsi="Arial" w:cs="Arial"/>
          <w:b/>
          <w:bCs/>
          <w:color w:val="000000" w:themeColor="text1"/>
          <w:bdr w:val="none" w:sz="0" w:space="0" w:color="auto" w:frame="1"/>
          <w:lang w:eastAsia="en-GB"/>
        </w:rPr>
      </w:pPr>
      <w:r w:rsidRPr="007A0EF2">
        <w:rPr>
          <w:rFonts w:ascii="Arial" w:eastAsia="Times New Roman" w:hAnsi="Arial" w:cs="Arial"/>
          <w:b/>
          <w:bCs/>
          <w:color w:val="000000" w:themeColor="text1"/>
          <w:bdr w:val="none" w:sz="0" w:space="0" w:color="auto" w:frame="1"/>
          <w:lang w:eastAsia="en-GB"/>
        </w:rPr>
        <w:t xml:space="preserve"> </w:t>
      </w:r>
    </w:p>
    <w:p w14:paraId="6BB41B47" w14:textId="77777777" w:rsidR="0050281F" w:rsidRPr="007A0EF2" w:rsidRDefault="0050281F" w:rsidP="003924FD">
      <w:pPr>
        <w:shd w:val="clear" w:color="auto" w:fill="FFFFFF"/>
        <w:spacing w:after="0" w:line="240" w:lineRule="auto"/>
        <w:textAlignment w:val="baseline"/>
        <w:rPr>
          <w:rFonts w:ascii="Arial" w:eastAsia="Times New Roman" w:hAnsi="Arial" w:cs="Arial"/>
          <w:b/>
          <w:bCs/>
          <w:color w:val="000000" w:themeColor="text1"/>
          <w:bdr w:val="none" w:sz="0" w:space="0" w:color="auto" w:frame="1"/>
          <w:lang w:eastAsia="en-GB"/>
        </w:rPr>
      </w:pPr>
    </w:p>
    <w:p w14:paraId="2AF4F663" w14:textId="3EFBD6DF" w:rsidR="003924FD" w:rsidRPr="007A0EF2" w:rsidRDefault="003924FD" w:rsidP="003924FD">
      <w:pPr>
        <w:shd w:val="clear" w:color="auto" w:fill="FFFFFF"/>
        <w:spacing w:after="0" w:line="240" w:lineRule="auto"/>
        <w:textAlignment w:val="baseline"/>
        <w:rPr>
          <w:rFonts w:ascii="Arial" w:eastAsia="Times New Roman" w:hAnsi="Arial" w:cs="Arial"/>
          <w:b/>
          <w:bCs/>
          <w:color w:val="000000" w:themeColor="text1"/>
          <w:bdr w:val="none" w:sz="0" w:space="0" w:color="auto" w:frame="1"/>
          <w:lang w:eastAsia="en-GB"/>
        </w:rPr>
      </w:pPr>
      <w:r w:rsidRPr="007A0EF2">
        <w:rPr>
          <w:rFonts w:ascii="Arial" w:eastAsia="Times New Roman" w:hAnsi="Arial" w:cs="Arial"/>
          <w:b/>
          <w:bCs/>
          <w:color w:val="000000" w:themeColor="text1"/>
          <w:bdr w:val="none" w:sz="0" w:space="0" w:color="auto" w:frame="1"/>
          <w:lang w:eastAsia="en-GB"/>
        </w:rPr>
        <w:t xml:space="preserve">You must complete </w:t>
      </w:r>
      <w:proofErr w:type="gramStart"/>
      <w:r w:rsidRPr="007A0EF2">
        <w:rPr>
          <w:rFonts w:ascii="Arial" w:eastAsia="Times New Roman" w:hAnsi="Arial" w:cs="Arial"/>
          <w:b/>
          <w:bCs/>
          <w:color w:val="000000" w:themeColor="text1"/>
          <w:u w:val="single"/>
          <w:bdr w:val="none" w:sz="0" w:space="0" w:color="auto" w:frame="1"/>
          <w:lang w:eastAsia="en-GB"/>
        </w:rPr>
        <w:t>all</w:t>
      </w:r>
      <w:r w:rsidRPr="007A0EF2">
        <w:rPr>
          <w:rFonts w:ascii="Arial" w:eastAsia="Times New Roman" w:hAnsi="Arial" w:cs="Arial"/>
          <w:b/>
          <w:bCs/>
          <w:color w:val="000000" w:themeColor="text1"/>
          <w:bdr w:val="none" w:sz="0" w:space="0" w:color="auto" w:frame="1"/>
          <w:lang w:eastAsia="en-GB"/>
        </w:rPr>
        <w:t xml:space="preserve"> of</w:t>
      </w:r>
      <w:proofErr w:type="gramEnd"/>
      <w:r w:rsidRPr="007A0EF2">
        <w:rPr>
          <w:rFonts w:ascii="Arial" w:eastAsia="Times New Roman" w:hAnsi="Arial" w:cs="Arial"/>
          <w:b/>
          <w:bCs/>
          <w:color w:val="000000" w:themeColor="text1"/>
          <w:bdr w:val="none" w:sz="0" w:space="0" w:color="auto" w:frame="1"/>
          <w:lang w:eastAsia="en-GB"/>
        </w:rPr>
        <w:t xml:space="preserve"> the questions below to determine your eligibility to proceed with your application </w:t>
      </w:r>
      <w:r w:rsidR="00274328" w:rsidRPr="007A0EF2">
        <w:rPr>
          <w:rFonts w:ascii="Arial" w:eastAsia="Times New Roman" w:hAnsi="Arial" w:cs="Arial"/>
          <w:b/>
          <w:bCs/>
          <w:color w:val="000000" w:themeColor="text1"/>
          <w:bdr w:val="none" w:sz="0" w:space="0" w:color="auto" w:frame="1"/>
          <w:lang w:eastAsia="en-GB"/>
        </w:rPr>
        <w:t xml:space="preserve">for the </w:t>
      </w:r>
      <w:r w:rsidRPr="007A0EF2">
        <w:rPr>
          <w:rFonts w:ascii="Arial" w:eastAsia="Times New Roman" w:hAnsi="Arial" w:cs="Arial"/>
          <w:b/>
          <w:bCs/>
          <w:color w:val="000000" w:themeColor="text1"/>
          <w:bdr w:val="none" w:sz="0" w:space="0" w:color="auto" w:frame="1"/>
          <w:lang w:eastAsia="en-GB"/>
        </w:rPr>
        <w:t>Partner Member</w:t>
      </w:r>
      <w:r w:rsidR="00274328" w:rsidRPr="007A0EF2">
        <w:rPr>
          <w:rFonts w:ascii="Arial" w:eastAsia="Times New Roman" w:hAnsi="Arial" w:cs="Arial"/>
          <w:b/>
          <w:bCs/>
          <w:color w:val="000000" w:themeColor="text1"/>
          <w:bdr w:val="none" w:sz="0" w:space="0" w:color="auto" w:frame="1"/>
          <w:lang w:eastAsia="en-GB"/>
        </w:rPr>
        <w:t xml:space="preserve"> role</w:t>
      </w:r>
      <w:r w:rsidRPr="007A0EF2">
        <w:rPr>
          <w:rFonts w:ascii="Arial" w:eastAsia="Times New Roman" w:hAnsi="Arial" w:cs="Arial"/>
          <w:b/>
          <w:bCs/>
          <w:color w:val="000000" w:themeColor="text1"/>
          <w:bdr w:val="none" w:sz="0" w:space="0" w:color="auto" w:frame="1"/>
          <w:lang w:eastAsia="en-GB"/>
        </w:rPr>
        <w:t xml:space="preserve">. </w:t>
      </w:r>
    </w:p>
    <w:p w14:paraId="65837AF7" w14:textId="00113DCF" w:rsidR="005A59C4" w:rsidRPr="007A0EF2" w:rsidRDefault="005A59C4" w:rsidP="003924FD">
      <w:pPr>
        <w:shd w:val="clear" w:color="auto" w:fill="FFFFFF"/>
        <w:spacing w:after="0" w:line="240" w:lineRule="auto"/>
        <w:textAlignment w:val="baseline"/>
        <w:rPr>
          <w:rFonts w:ascii="Arial" w:eastAsia="Times New Roman" w:hAnsi="Arial" w:cs="Arial"/>
          <w:b/>
          <w:bCs/>
          <w:color w:val="000000" w:themeColor="text1"/>
          <w:bdr w:val="none" w:sz="0" w:space="0" w:color="auto" w:frame="1"/>
          <w:lang w:eastAsia="en-GB"/>
        </w:rPr>
      </w:pPr>
    </w:p>
    <w:p w14:paraId="307CED24" w14:textId="1E805203" w:rsidR="005A59C4" w:rsidRPr="007A0EF2" w:rsidRDefault="005A59C4" w:rsidP="005222ED">
      <w:pPr>
        <w:rPr>
          <w:rFonts w:ascii="Arial" w:eastAsia="Times New Roman" w:hAnsi="Arial" w:cs="Arial"/>
          <w:bCs/>
          <w:color w:val="000000" w:themeColor="text1"/>
          <w:bdr w:val="none" w:sz="0" w:space="0" w:color="auto" w:frame="1"/>
          <w:lang w:eastAsia="en-GB"/>
        </w:rPr>
      </w:pPr>
      <w:r w:rsidRPr="007A0EF2">
        <w:rPr>
          <w:rFonts w:ascii="Arial" w:eastAsia="Times New Roman" w:hAnsi="Arial" w:cs="Arial"/>
          <w:color w:val="000000" w:themeColor="text1"/>
          <w:bdr w:val="none" w:sz="0" w:space="0" w:color="auto" w:frame="1"/>
          <w:lang w:eastAsia="en-GB"/>
        </w:rPr>
        <w:t>This document is to be completed in con</w:t>
      </w:r>
      <w:r w:rsidR="00BE14E0" w:rsidRPr="007A0EF2">
        <w:rPr>
          <w:rFonts w:ascii="Arial" w:eastAsia="Times New Roman" w:hAnsi="Arial" w:cs="Arial"/>
          <w:color w:val="000000" w:themeColor="text1"/>
          <w:bdr w:val="none" w:sz="0" w:space="0" w:color="auto" w:frame="1"/>
          <w:lang w:eastAsia="en-GB"/>
        </w:rPr>
        <w:t>junction with the</w:t>
      </w:r>
      <w:r w:rsidR="004662E9" w:rsidRPr="007A0EF2">
        <w:rPr>
          <w:rFonts w:ascii="Arial" w:eastAsia="Times New Roman" w:hAnsi="Arial" w:cs="Arial"/>
          <w:color w:val="000000" w:themeColor="text1"/>
          <w:bdr w:val="none" w:sz="0" w:space="0" w:color="auto" w:frame="1"/>
          <w:lang w:eastAsia="en-GB"/>
        </w:rPr>
        <w:t xml:space="preserve"> </w:t>
      </w:r>
      <w:r w:rsidR="005222ED" w:rsidRPr="007A0EF2">
        <w:rPr>
          <w:rFonts w:ascii="Arial" w:hAnsi="Arial" w:cs="Arial"/>
          <w:bCs/>
        </w:rPr>
        <w:t>NCL Primary Medical Services Partner Members</w:t>
      </w:r>
      <w:r w:rsidR="00BE14E0" w:rsidRPr="007A0EF2">
        <w:rPr>
          <w:rFonts w:ascii="Arial" w:eastAsia="Times New Roman" w:hAnsi="Arial" w:cs="Arial"/>
          <w:bCs/>
          <w:color w:val="000000" w:themeColor="text1"/>
          <w:bdr w:val="none" w:sz="0" w:space="0" w:color="auto" w:frame="1"/>
          <w:lang w:eastAsia="en-GB"/>
        </w:rPr>
        <w:t xml:space="preserve"> application form.</w:t>
      </w:r>
    </w:p>
    <w:p w14:paraId="2E8C04FC" w14:textId="77777777" w:rsidR="003924FD" w:rsidRPr="007A0EF2" w:rsidRDefault="003924FD" w:rsidP="003924FD">
      <w:pPr>
        <w:shd w:val="clear" w:color="auto" w:fill="FFFFFF"/>
        <w:spacing w:after="0" w:line="240" w:lineRule="auto"/>
        <w:textAlignment w:val="baseline"/>
        <w:rPr>
          <w:rFonts w:ascii="Arial" w:eastAsia="Times New Roman" w:hAnsi="Arial" w:cs="Arial"/>
          <w:b/>
          <w:bCs/>
          <w:color w:val="000000" w:themeColor="text1"/>
          <w:bdr w:val="none" w:sz="0" w:space="0" w:color="auto" w:frame="1"/>
          <w:lang w:eastAsia="en-GB"/>
        </w:rPr>
      </w:pPr>
    </w:p>
    <w:tbl>
      <w:tblPr>
        <w:tblStyle w:val="TableGrid"/>
        <w:tblW w:w="9620" w:type="dxa"/>
        <w:tblLook w:val="04A0" w:firstRow="1" w:lastRow="0" w:firstColumn="1" w:lastColumn="0" w:noHBand="0" w:noVBand="1"/>
      </w:tblPr>
      <w:tblGrid>
        <w:gridCol w:w="430"/>
        <w:gridCol w:w="7787"/>
        <w:gridCol w:w="705"/>
        <w:gridCol w:w="698"/>
      </w:tblGrid>
      <w:tr w:rsidR="00103688" w:rsidRPr="007A0EF2" w14:paraId="04E42A72" w14:textId="77777777" w:rsidTr="00932E32">
        <w:tc>
          <w:tcPr>
            <w:tcW w:w="430" w:type="dxa"/>
          </w:tcPr>
          <w:p w14:paraId="040B43E4" w14:textId="04BC1488" w:rsidR="00103688" w:rsidRPr="007A0EF2" w:rsidRDefault="00103688" w:rsidP="00103688">
            <w:pPr>
              <w:textAlignment w:val="baseline"/>
              <w:rPr>
                <w:rFonts w:ascii="Arial" w:eastAsia="Times New Roman" w:hAnsi="Arial" w:cs="Arial"/>
                <w:b/>
                <w:bCs/>
                <w:color w:val="000000" w:themeColor="text1"/>
                <w:bdr w:val="none" w:sz="0" w:space="0" w:color="auto" w:frame="1"/>
                <w:lang w:eastAsia="en-GB"/>
              </w:rPr>
            </w:pPr>
          </w:p>
        </w:tc>
        <w:tc>
          <w:tcPr>
            <w:tcW w:w="7787" w:type="dxa"/>
          </w:tcPr>
          <w:p w14:paraId="4CA7F3CA" w14:textId="00971A6F" w:rsidR="00103688" w:rsidRPr="007A0EF2" w:rsidRDefault="00103688" w:rsidP="00103688">
            <w:pPr>
              <w:textAlignment w:val="baseline"/>
              <w:rPr>
                <w:rFonts w:ascii="Arial" w:eastAsia="Times New Roman" w:hAnsi="Arial" w:cs="Arial"/>
                <w:b/>
                <w:bCs/>
                <w:color w:val="000000" w:themeColor="text1"/>
                <w:bdr w:val="none" w:sz="0" w:space="0" w:color="auto" w:frame="1"/>
                <w:lang w:eastAsia="en-GB"/>
              </w:rPr>
            </w:pPr>
            <w:r w:rsidRPr="007A0EF2">
              <w:rPr>
                <w:rFonts w:ascii="Arial" w:eastAsia="Times New Roman" w:hAnsi="Arial" w:cs="Arial"/>
                <w:b/>
                <w:bCs/>
                <w:color w:val="000000" w:themeColor="text1"/>
                <w:bdr w:val="none" w:sz="0" w:space="0" w:color="auto" w:frame="1"/>
                <w:lang w:eastAsia="en-GB"/>
              </w:rPr>
              <w:t>Eligibility Questions (Primary Medical Services</w:t>
            </w:r>
            <w:r w:rsidR="002A74C5">
              <w:rPr>
                <w:rFonts w:ascii="Arial" w:eastAsia="Times New Roman" w:hAnsi="Arial" w:cs="Arial"/>
                <w:b/>
                <w:bCs/>
                <w:color w:val="000000" w:themeColor="text1"/>
                <w:bdr w:val="none" w:sz="0" w:space="0" w:color="auto" w:frame="1"/>
                <w:lang w:eastAsia="en-GB"/>
              </w:rPr>
              <w:t xml:space="preserve"> Partner Member</w:t>
            </w:r>
            <w:r w:rsidRPr="007A0EF2">
              <w:rPr>
                <w:rFonts w:ascii="Arial" w:eastAsia="Times New Roman" w:hAnsi="Arial" w:cs="Arial"/>
                <w:b/>
                <w:bCs/>
                <w:color w:val="000000" w:themeColor="text1"/>
                <w:bdr w:val="none" w:sz="0" w:space="0" w:color="auto" w:frame="1"/>
                <w:lang w:eastAsia="en-GB"/>
              </w:rPr>
              <w:t>)</w:t>
            </w:r>
          </w:p>
        </w:tc>
        <w:tc>
          <w:tcPr>
            <w:tcW w:w="705" w:type="dxa"/>
          </w:tcPr>
          <w:p w14:paraId="624067B8" w14:textId="1ADFCB2E" w:rsidR="00103688" w:rsidRPr="007A0EF2" w:rsidRDefault="00103688" w:rsidP="00103688">
            <w:pPr>
              <w:textAlignment w:val="baseline"/>
              <w:rPr>
                <w:rFonts w:ascii="Arial" w:eastAsia="Times New Roman" w:hAnsi="Arial" w:cs="Arial"/>
                <w:b/>
                <w:bCs/>
                <w:color w:val="000000" w:themeColor="text1"/>
                <w:bdr w:val="none" w:sz="0" w:space="0" w:color="auto" w:frame="1"/>
                <w:lang w:eastAsia="en-GB"/>
              </w:rPr>
            </w:pPr>
            <w:r w:rsidRPr="007A0EF2">
              <w:rPr>
                <w:rFonts w:ascii="Arial" w:eastAsia="Times New Roman" w:hAnsi="Arial" w:cs="Arial"/>
                <w:b/>
                <w:bCs/>
                <w:color w:val="000000" w:themeColor="text1"/>
                <w:bdr w:val="none" w:sz="0" w:space="0" w:color="auto" w:frame="1"/>
                <w:lang w:eastAsia="en-GB"/>
              </w:rPr>
              <w:t>Yes</w:t>
            </w:r>
          </w:p>
        </w:tc>
        <w:tc>
          <w:tcPr>
            <w:tcW w:w="698" w:type="dxa"/>
          </w:tcPr>
          <w:p w14:paraId="5BD7E7CA" w14:textId="25E3C9BC" w:rsidR="00103688" w:rsidRPr="007A0EF2" w:rsidRDefault="00103688" w:rsidP="00103688">
            <w:pPr>
              <w:textAlignment w:val="baseline"/>
              <w:rPr>
                <w:rFonts w:ascii="Arial" w:eastAsia="Times New Roman" w:hAnsi="Arial" w:cs="Arial"/>
                <w:b/>
                <w:bCs/>
                <w:color w:val="000000" w:themeColor="text1"/>
                <w:bdr w:val="none" w:sz="0" w:space="0" w:color="auto" w:frame="1"/>
                <w:lang w:eastAsia="en-GB"/>
              </w:rPr>
            </w:pPr>
            <w:r w:rsidRPr="007A0EF2">
              <w:rPr>
                <w:rFonts w:ascii="Arial" w:eastAsia="Times New Roman" w:hAnsi="Arial" w:cs="Arial"/>
                <w:b/>
                <w:bCs/>
                <w:color w:val="000000" w:themeColor="text1"/>
                <w:bdr w:val="none" w:sz="0" w:space="0" w:color="auto" w:frame="1"/>
                <w:lang w:eastAsia="en-GB"/>
              </w:rPr>
              <w:t>No</w:t>
            </w:r>
          </w:p>
        </w:tc>
      </w:tr>
      <w:tr w:rsidR="00103688" w:rsidRPr="007A0EF2" w14:paraId="3C6756E7" w14:textId="77777777" w:rsidTr="00932E32">
        <w:tc>
          <w:tcPr>
            <w:tcW w:w="430" w:type="dxa"/>
          </w:tcPr>
          <w:p w14:paraId="1E85CF37" w14:textId="6F2151A8" w:rsidR="00103688" w:rsidRPr="007A0EF2" w:rsidRDefault="00103688" w:rsidP="00103688">
            <w:pPr>
              <w:spacing w:after="120" w:line="239" w:lineRule="auto"/>
              <w:rPr>
                <w:rFonts w:ascii="Arial" w:eastAsia="Segoe UI Symbol" w:hAnsi="Arial" w:cs="Arial"/>
                <w:color w:val="000000"/>
              </w:rPr>
            </w:pPr>
            <w:r w:rsidRPr="007A0EF2">
              <w:rPr>
                <w:rFonts w:ascii="Arial" w:eastAsia="Segoe UI Symbol" w:hAnsi="Arial" w:cs="Arial"/>
                <w:color w:val="000000"/>
              </w:rPr>
              <w:t>1)</w:t>
            </w:r>
          </w:p>
        </w:tc>
        <w:tc>
          <w:tcPr>
            <w:tcW w:w="7787" w:type="dxa"/>
          </w:tcPr>
          <w:p w14:paraId="403D06C5" w14:textId="700870FF" w:rsidR="00103688" w:rsidRPr="007A0EF2" w:rsidRDefault="00103688" w:rsidP="00103688">
            <w:pPr>
              <w:spacing w:after="120" w:line="239" w:lineRule="auto"/>
              <w:rPr>
                <w:rFonts w:ascii="Arial" w:eastAsia="Segoe UI Symbol" w:hAnsi="Arial" w:cs="Arial"/>
                <w:color w:val="000000"/>
              </w:rPr>
            </w:pPr>
            <w:r w:rsidRPr="007A0EF2">
              <w:rPr>
                <w:rFonts w:ascii="Arial" w:eastAsia="Segoe UI Symbol" w:hAnsi="Arial" w:cs="Arial"/>
                <w:color w:val="000000"/>
              </w:rPr>
              <w:t xml:space="preserve">Have you been nominated by a valid nominating organisation (see </w:t>
            </w:r>
            <w:r w:rsidR="005222ED" w:rsidRPr="007A0EF2">
              <w:rPr>
                <w:rFonts w:ascii="Arial" w:eastAsia="Segoe UI Symbol" w:hAnsi="Arial" w:cs="Arial"/>
                <w:color w:val="000000"/>
              </w:rPr>
              <w:t xml:space="preserve">Annexe A in </w:t>
            </w:r>
            <w:r w:rsidR="005222ED" w:rsidRPr="007A0EF2">
              <w:rPr>
                <w:rFonts w:ascii="Arial" w:hAnsi="Arial" w:cs="Arial"/>
                <w:bCs/>
              </w:rPr>
              <w:t>Role Profile for Primary Medical Services Partner Member document)</w:t>
            </w:r>
          </w:p>
        </w:tc>
        <w:tc>
          <w:tcPr>
            <w:tcW w:w="705" w:type="dxa"/>
          </w:tcPr>
          <w:p w14:paraId="0039859E" w14:textId="77777777" w:rsidR="00103688" w:rsidRPr="007A0EF2" w:rsidRDefault="00103688" w:rsidP="00103688">
            <w:pPr>
              <w:textAlignment w:val="baseline"/>
              <w:rPr>
                <w:rFonts w:ascii="Arial" w:eastAsia="Times New Roman" w:hAnsi="Arial" w:cs="Arial"/>
                <w:b/>
                <w:bCs/>
                <w:color w:val="000000" w:themeColor="text1"/>
                <w:bdr w:val="none" w:sz="0" w:space="0" w:color="auto" w:frame="1"/>
                <w:lang w:eastAsia="en-GB"/>
              </w:rPr>
            </w:pPr>
          </w:p>
        </w:tc>
        <w:tc>
          <w:tcPr>
            <w:tcW w:w="698" w:type="dxa"/>
          </w:tcPr>
          <w:p w14:paraId="39C7ADE7" w14:textId="09288A91" w:rsidR="00103688" w:rsidRPr="007A0EF2" w:rsidRDefault="00103688" w:rsidP="00103688">
            <w:pPr>
              <w:textAlignment w:val="baseline"/>
              <w:rPr>
                <w:rFonts w:ascii="Arial" w:eastAsia="Times New Roman" w:hAnsi="Arial" w:cs="Arial"/>
                <w:b/>
                <w:bCs/>
                <w:color w:val="000000" w:themeColor="text1"/>
                <w:bdr w:val="none" w:sz="0" w:space="0" w:color="auto" w:frame="1"/>
                <w:lang w:eastAsia="en-GB"/>
              </w:rPr>
            </w:pPr>
          </w:p>
        </w:tc>
      </w:tr>
      <w:tr w:rsidR="00103688" w:rsidRPr="007A0EF2" w14:paraId="7F7D6045" w14:textId="77777777" w:rsidTr="005222ED">
        <w:tc>
          <w:tcPr>
            <w:tcW w:w="430" w:type="dxa"/>
          </w:tcPr>
          <w:p w14:paraId="7D571D0F" w14:textId="192537F3" w:rsidR="00103688" w:rsidRPr="007A0EF2" w:rsidRDefault="00103688" w:rsidP="00103688">
            <w:pPr>
              <w:spacing w:after="120" w:line="239" w:lineRule="auto"/>
              <w:rPr>
                <w:rFonts w:ascii="Arial" w:eastAsia="Segoe UI Symbol" w:hAnsi="Arial" w:cs="Arial"/>
                <w:color w:val="000000"/>
              </w:rPr>
            </w:pPr>
            <w:r w:rsidRPr="007A0EF2">
              <w:rPr>
                <w:rFonts w:ascii="Arial" w:hAnsi="Arial" w:cs="Arial"/>
              </w:rPr>
              <w:t>a)</w:t>
            </w:r>
          </w:p>
        </w:tc>
        <w:tc>
          <w:tcPr>
            <w:tcW w:w="7787" w:type="dxa"/>
          </w:tcPr>
          <w:p w14:paraId="43E0335A" w14:textId="2CB2300F" w:rsidR="00103688" w:rsidRPr="007A0EF2" w:rsidRDefault="00103688" w:rsidP="00103688">
            <w:pPr>
              <w:textAlignment w:val="baseline"/>
              <w:rPr>
                <w:rFonts w:ascii="Arial" w:eastAsia="Times New Roman" w:hAnsi="Arial" w:cs="Arial"/>
                <w:b/>
                <w:bCs/>
                <w:color w:val="000000" w:themeColor="text1"/>
                <w:bdr w:val="none" w:sz="0" w:space="0" w:color="auto" w:frame="1"/>
                <w:lang w:eastAsia="en-GB"/>
              </w:rPr>
            </w:pPr>
            <w:r w:rsidRPr="007A0EF2">
              <w:rPr>
                <w:rFonts w:ascii="Arial" w:hAnsi="Arial" w:cs="Arial"/>
              </w:rPr>
              <w:t>If yes, please list the practice below</w:t>
            </w:r>
            <w:r w:rsidR="00530DE4" w:rsidRPr="007A0EF2">
              <w:rPr>
                <w:rFonts w:ascii="Arial" w:hAnsi="Arial" w:cs="Arial"/>
              </w:rPr>
              <w:t>:</w:t>
            </w:r>
          </w:p>
          <w:p w14:paraId="375878D3" w14:textId="77777777" w:rsidR="00103688" w:rsidRDefault="00103688" w:rsidP="00103688">
            <w:pPr>
              <w:spacing w:after="120" w:line="239" w:lineRule="auto"/>
              <w:rPr>
                <w:rFonts w:ascii="Arial" w:eastAsia="Segoe UI Symbol" w:hAnsi="Arial" w:cs="Arial"/>
                <w:color w:val="000000"/>
              </w:rPr>
            </w:pPr>
          </w:p>
          <w:p w14:paraId="1202D159" w14:textId="0E178510" w:rsidR="00EF11E1" w:rsidRPr="007A0EF2" w:rsidRDefault="00EF11E1" w:rsidP="00103688">
            <w:pPr>
              <w:spacing w:after="120" w:line="239" w:lineRule="auto"/>
              <w:rPr>
                <w:rFonts w:ascii="Arial" w:eastAsia="Segoe UI Symbol" w:hAnsi="Arial" w:cs="Arial"/>
                <w:color w:val="000000"/>
              </w:rPr>
            </w:pPr>
          </w:p>
        </w:tc>
        <w:tc>
          <w:tcPr>
            <w:tcW w:w="705" w:type="dxa"/>
            <w:shd w:val="clear" w:color="auto" w:fill="000000" w:themeFill="text1"/>
          </w:tcPr>
          <w:p w14:paraId="1125F16B" w14:textId="77777777" w:rsidR="00103688" w:rsidRPr="007A0EF2" w:rsidRDefault="00103688" w:rsidP="00103688">
            <w:pPr>
              <w:textAlignment w:val="baseline"/>
              <w:rPr>
                <w:rFonts w:ascii="Arial" w:eastAsia="Times New Roman" w:hAnsi="Arial" w:cs="Arial"/>
                <w:b/>
                <w:bCs/>
                <w:color w:val="000000" w:themeColor="text1"/>
                <w:bdr w:val="none" w:sz="0" w:space="0" w:color="auto" w:frame="1"/>
                <w:lang w:eastAsia="en-GB"/>
              </w:rPr>
            </w:pPr>
          </w:p>
        </w:tc>
        <w:tc>
          <w:tcPr>
            <w:tcW w:w="698" w:type="dxa"/>
            <w:shd w:val="clear" w:color="auto" w:fill="000000" w:themeFill="text1"/>
          </w:tcPr>
          <w:p w14:paraId="77AB3E2E" w14:textId="3E6C5FDA" w:rsidR="00103688" w:rsidRPr="007A0EF2" w:rsidRDefault="00103688" w:rsidP="00103688">
            <w:pPr>
              <w:textAlignment w:val="baseline"/>
              <w:rPr>
                <w:rFonts w:ascii="Arial" w:eastAsia="Times New Roman" w:hAnsi="Arial" w:cs="Arial"/>
                <w:b/>
                <w:bCs/>
                <w:color w:val="000000" w:themeColor="text1"/>
                <w:bdr w:val="none" w:sz="0" w:space="0" w:color="auto" w:frame="1"/>
                <w:lang w:eastAsia="en-GB"/>
              </w:rPr>
            </w:pPr>
          </w:p>
        </w:tc>
      </w:tr>
      <w:tr w:rsidR="002A74C5" w:rsidRPr="002A74C5" w14:paraId="6D3C1D15" w14:textId="77777777" w:rsidTr="00932E32">
        <w:tc>
          <w:tcPr>
            <w:tcW w:w="430" w:type="dxa"/>
          </w:tcPr>
          <w:p w14:paraId="6A18559A" w14:textId="53659CBD" w:rsidR="002A74C5" w:rsidRPr="002A74C5" w:rsidRDefault="00EF11E1" w:rsidP="002A74C5">
            <w:pPr>
              <w:spacing w:after="120" w:line="239" w:lineRule="auto"/>
              <w:rPr>
                <w:rFonts w:ascii="Arial" w:hAnsi="Arial" w:cs="Arial"/>
                <w:color w:val="FF0000"/>
              </w:rPr>
            </w:pPr>
            <w:r>
              <w:rPr>
                <w:rFonts w:ascii="Arial" w:hAnsi="Arial" w:cs="Arial"/>
              </w:rPr>
              <w:t>b)</w:t>
            </w:r>
          </w:p>
        </w:tc>
        <w:tc>
          <w:tcPr>
            <w:tcW w:w="7787" w:type="dxa"/>
          </w:tcPr>
          <w:p w14:paraId="009BB721" w14:textId="6EFE5463" w:rsidR="001D344B" w:rsidRPr="00EF11E1" w:rsidRDefault="001D344B" w:rsidP="001D344B">
            <w:pPr>
              <w:textAlignment w:val="baseline"/>
              <w:rPr>
                <w:rFonts w:ascii="Arial" w:hAnsi="Arial" w:cs="Arial"/>
              </w:rPr>
            </w:pPr>
            <w:r w:rsidRPr="00EF11E1">
              <w:rPr>
                <w:rFonts w:ascii="Arial" w:hAnsi="Arial" w:cs="Arial"/>
              </w:rPr>
              <w:t>Please list the individual in the practice who is nominating you and provide their contact details below:</w:t>
            </w:r>
          </w:p>
          <w:p w14:paraId="2DF843C4" w14:textId="77777777" w:rsidR="001D344B" w:rsidRDefault="001D344B" w:rsidP="001D344B">
            <w:pPr>
              <w:textAlignment w:val="baseline"/>
              <w:rPr>
                <w:rFonts w:ascii="Arial" w:hAnsi="Arial" w:cs="Arial"/>
                <w:color w:val="1F497D"/>
              </w:rPr>
            </w:pPr>
          </w:p>
          <w:p w14:paraId="4298EC28" w14:textId="6D8B3026" w:rsidR="002A74C5" w:rsidRPr="002A74C5" w:rsidRDefault="002A74C5" w:rsidP="001D344B">
            <w:pPr>
              <w:textAlignment w:val="baseline"/>
              <w:rPr>
                <w:rFonts w:ascii="Arial" w:hAnsi="Arial" w:cs="Arial"/>
                <w:color w:val="FF0000"/>
              </w:rPr>
            </w:pPr>
          </w:p>
        </w:tc>
        <w:tc>
          <w:tcPr>
            <w:tcW w:w="705" w:type="dxa"/>
          </w:tcPr>
          <w:p w14:paraId="7FA893FE" w14:textId="77777777" w:rsidR="002A74C5" w:rsidRPr="002A74C5" w:rsidRDefault="002A74C5" w:rsidP="002A74C5">
            <w:pPr>
              <w:textAlignment w:val="baseline"/>
              <w:rPr>
                <w:rFonts w:ascii="Arial" w:eastAsia="Times New Roman" w:hAnsi="Arial" w:cs="Arial"/>
                <w:b/>
                <w:bCs/>
                <w:color w:val="FF0000"/>
                <w:bdr w:val="none" w:sz="0" w:space="0" w:color="auto" w:frame="1"/>
                <w:lang w:eastAsia="en-GB"/>
              </w:rPr>
            </w:pPr>
          </w:p>
        </w:tc>
        <w:tc>
          <w:tcPr>
            <w:tcW w:w="698" w:type="dxa"/>
          </w:tcPr>
          <w:p w14:paraId="014272D6" w14:textId="639A0771" w:rsidR="002A74C5" w:rsidRPr="002A74C5" w:rsidRDefault="002A74C5" w:rsidP="002A74C5">
            <w:pPr>
              <w:textAlignment w:val="baseline"/>
              <w:rPr>
                <w:rFonts w:ascii="Arial" w:eastAsia="Times New Roman" w:hAnsi="Arial" w:cs="Arial"/>
                <w:b/>
                <w:bCs/>
                <w:color w:val="FF0000"/>
                <w:bdr w:val="none" w:sz="0" w:space="0" w:color="auto" w:frame="1"/>
                <w:lang w:eastAsia="en-GB"/>
              </w:rPr>
            </w:pPr>
          </w:p>
        </w:tc>
      </w:tr>
      <w:tr w:rsidR="002A74C5" w:rsidRPr="007A0EF2" w14:paraId="46837A6C" w14:textId="77777777" w:rsidTr="00932E32">
        <w:tc>
          <w:tcPr>
            <w:tcW w:w="430" w:type="dxa"/>
          </w:tcPr>
          <w:p w14:paraId="5B6A3F1E" w14:textId="116EED6A" w:rsidR="002A74C5" w:rsidRPr="007A0EF2" w:rsidRDefault="00EF11E1" w:rsidP="002A74C5">
            <w:pPr>
              <w:spacing w:after="120" w:line="239" w:lineRule="auto"/>
              <w:rPr>
                <w:rFonts w:ascii="Arial" w:hAnsi="Arial" w:cs="Arial"/>
              </w:rPr>
            </w:pPr>
            <w:r>
              <w:rPr>
                <w:rFonts w:ascii="Arial" w:hAnsi="Arial" w:cs="Arial"/>
              </w:rPr>
              <w:t>2)</w:t>
            </w:r>
          </w:p>
        </w:tc>
        <w:tc>
          <w:tcPr>
            <w:tcW w:w="7787" w:type="dxa"/>
          </w:tcPr>
          <w:p w14:paraId="160442B6" w14:textId="31DB8176" w:rsidR="002A74C5" w:rsidRPr="007A0EF2" w:rsidRDefault="002A74C5" w:rsidP="002A74C5">
            <w:pPr>
              <w:textAlignment w:val="baseline"/>
              <w:rPr>
                <w:rFonts w:ascii="Arial" w:hAnsi="Arial" w:cs="Arial"/>
              </w:rPr>
            </w:pPr>
            <w:r w:rsidRPr="007A0EF2">
              <w:rPr>
                <w:rFonts w:ascii="Arial" w:hAnsi="Arial" w:cs="Arial"/>
              </w:rPr>
              <w:t xml:space="preserve">Are you able to confirm that you </w:t>
            </w:r>
            <w:proofErr w:type="gramStart"/>
            <w:r w:rsidRPr="007A0EF2">
              <w:rPr>
                <w:rFonts w:ascii="Arial" w:hAnsi="Arial" w:cs="Arial"/>
              </w:rPr>
              <w:t>are able to</w:t>
            </w:r>
            <w:proofErr w:type="gramEnd"/>
            <w:r w:rsidRPr="007A0EF2">
              <w:rPr>
                <w:rFonts w:ascii="Arial" w:hAnsi="Arial" w:cs="Arial"/>
              </w:rPr>
              <w:t xml:space="preserve"> bring a sector perspective of the North of North Central London or bring a sector perspective of the South of North Central London?</w:t>
            </w:r>
          </w:p>
        </w:tc>
        <w:tc>
          <w:tcPr>
            <w:tcW w:w="705" w:type="dxa"/>
          </w:tcPr>
          <w:p w14:paraId="3C7FF2C5" w14:textId="77777777" w:rsidR="002A74C5" w:rsidRPr="007A0EF2" w:rsidRDefault="002A74C5" w:rsidP="002A74C5">
            <w:pPr>
              <w:textAlignment w:val="baseline"/>
              <w:rPr>
                <w:rFonts w:ascii="Arial" w:eastAsia="Times New Roman" w:hAnsi="Arial" w:cs="Arial"/>
                <w:b/>
                <w:bCs/>
                <w:color w:val="000000" w:themeColor="text1"/>
                <w:bdr w:val="none" w:sz="0" w:space="0" w:color="auto" w:frame="1"/>
                <w:lang w:eastAsia="en-GB"/>
              </w:rPr>
            </w:pPr>
          </w:p>
        </w:tc>
        <w:tc>
          <w:tcPr>
            <w:tcW w:w="698" w:type="dxa"/>
          </w:tcPr>
          <w:p w14:paraId="13914151" w14:textId="169B5D57" w:rsidR="002A74C5" w:rsidRPr="007A0EF2" w:rsidRDefault="002A74C5" w:rsidP="002A74C5">
            <w:pPr>
              <w:textAlignment w:val="baseline"/>
              <w:rPr>
                <w:rFonts w:ascii="Arial" w:eastAsia="Times New Roman" w:hAnsi="Arial" w:cs="Arial"/>
                <w:b/>
                <w:bCs/>
                <w:color w:val="000000" w:themeColor="text1"/>
                <w:bdr w:val="none" w:sz="0" w:space="0" w:color="auto" w:frame="1"/>
                <w:lang w:eastAsia="en-GB"/>
              </w:rPr>
            </w:pPr>
          </w:p>
        </w:tc>
      </w:tr>
      <w:tr w:rsidR="002A74C5" w:rsidRPr="007A0EF2" w14:paraId="04837A92" w14:textId="77777777" w:rsidTr="00932E32">
        <w:tc>
          <w:tcPr>
            <w:tcW w:w="430" w:type="dxa"/>
          </w:tcPr>
          <w:p w14:paraId="5CCC95A4" w14:textId="657B359D" w:rsidR="002A74C5" w:rsidRPr="007A0EF2" w:rsidRDefault="00EF11E1" w:rsidP="002A74C5">
            <w:pPr>
              <w:spacing w:after="120" w:line="239" w:lineRule="auto"/>
              <w:rPr>
                <w:rFonts w:ascii="Arial" w:hAnsi="Arial" w:cs="Arial"/>
              </w:rPr>
            </w:pPr>
            <w:r w:rsidRPr="007A0EF2">
              <w:rPr>
                <w:rFonts w:ascii="Arial" w:hAnsi="Arial" w:cs="Arial"/>
              </w:rPr>
              <w:t>3)</w:t>
            </w:r>
          </w:p>
        </w:tc>
        <w:tc>
          <w:tcPr>
            <w:tcW w:w="7787" w:type="dxa"/>
          </w:tcPr>
          <w:p w14:paraId="2F95AB91" w14:textId="76A6140B" w:rsidR="002A74C5" w:rsidRPr="007A0EF2" w:rsidRDefault="002A74C5" w:rsidP="002A74C5">
            <w:pPr>
              <w:textAlignment w:val="baseline"/>
              <w:rPr>
                <w:rFonts w:ascii="Arial" w:hAnsi="Arial" w:cs="Arial"/>
              </w:rPr>
            </w:pPr>
            <w:r w:rsidRPr="007A0EF2">
              <w:rPr>
                <w:rFonts w:ascii="Arial" w:hAnsi="Arial" w:cs="Arial"/>
              </w:rPr>
              <w:t>Can you confirm that you don’t meet any of the disqualification criteria set out in section 11 of NCL ICB’s draft Constitution? (</w:t>
            </w:r>
            <w:proofErr w:type="gramStart"/>
            <w:r w:rsidRPr="007A0EF2">
              <w:rPr>
                <w:rFonts w:ascii="Arial" w:hAnsi="Arial" w:cs="Arial"/>
              </w:rPr>
              <w:t>see</w:t>
            </w:r>
            <w:proofErr w:type="gramEnd"/>
            <w:r w:rsidRPr="007A0EF2">
              <w:rPr>
                <w:rFonts w:ascii="Arial" w:hAnsi="Arial" w:cs="Arial"/>
              </w:rPr>
              <w:t xml:space="preserve"> outline below)</w:t>
            </w:r>
          </w:p>
        </w:tc>
        <w:tc>
          <w:tcPr>
            <w:tcW w:w="705" w:type="dxa"/>
          </w:tcPr>
          <w:p w14:paraId="1BE39E3D" w14:textId="77777777" w:rsidR="002A74C5" w:rsidRPr="007A0EF2" w:rsidRDefault="002A74C5" w:rsidP="002A74C5">
            <w:pPr>
              <w:textAlignment w:val="baseline"/>
              <w:rPr>
                <w:rFonts w:ascii="Arial" w:eastAsia="Times New Roman" w:hAnsi="Arial" w:cs="Arial"/>
                <w:b/>
                <w:bCs/>
                <w:color w:val="000000" w:themeColor="text1"/>
                <w:bdr w:val="none" w:sz="0" w:space="0" w:color="auto" w:frame="1"/>
                <w:lang w:eastAsia="en-GB"/>
              </w:rPr>
            </w:pPr>
          </w:p>
        </w:tc>
        <w:tc>
          <w:tcPr>
            <w:tcW w:w="698" w:type="dxa"/>
          </w:tcPr>
          <w:p w14:paraId="063A455B" w14:textId="77777777" w:rsidR="002A74C5" w:rsidRPr="007A0EF2" w:rsidRDefault="002A74C5" w:rsidP="002A74C5">
            <w:pPr>
              <w:textAlignment w:val="baseline"/>
              <w:rPr>
                <w:rFonts w:ascii="Arial" w:eastAsia="Times New Roman" w:hAnsi="Arial" w:cs="Arial"/>
                <w:b/>
                <w:bCs/>
                <w:color w:val="000000" w:themeColor="text1"/>
                <w:bdr w:val="none" w:sz="0" w:space="0" w:color="auto" w:frame="1"/>
                <w:lang w:eastAsia="en-GB"/>
              </w:rPr>
            </w:pPr>
          </w:p>
        </w:tc>
      </w:tr>
      <w:tr w:rsidR="002A74C5" w:rsidRPr="007A0EF2" w14:paraId="5CA69E08" w14:textId="77777777" w:rsidTr="00932E32">
        <w:tc>
          <w:tcPr>
            <w:tcW w:w="430" w:type="dxa"/>
          </w:tcPr>
          <w:p w14:paraId="74B8851C" w14:textId="19BA0719" w:rsidR="002A74C5" w:rsidRPr="007A0EF2" w:rsidRDefault="00EF11E1" w:rsidP="002A74C5">
            <w:pPr>
              <w:spacing w:after="120" w:line="239" w:lineRule="auto"/>
              <w:rPr>
                <w:rFonts w:ascii="Arial" w:hAnsi="Arial" w:cs="Arial"/>
              </w:rPr>
            </w:pPr>
            <w:r w:rsidRPr="007A0EF2">
              <w:rPr>
                <w:rFonts w:ascii="Arial" w:hAnsi="Arial" w:cs="Arial"/>
              </w:rPr>
              <w:t>4)</w:t>
            </w:r>
          </w:p>
        </w:tc>
        <w:tc>
          <w:tcPr>
            <w:tcW w:w="7787" w:type="dxa"/>
          </w:tcPr>
          <w:p w14:paraId="65D77A61" w14:textId="3009B206" w:rsidR="002A74C5" w:rsidRPr="007A0EF2" w:rsidRDefault="002A74C5" w:rsidP="002A74C5">
            <w:pPr>
              <w:textAlignment w:val="baseline"/>
              <w:rPr>
                <w:rFonts w:ascii="Arial" w:hAnsi="Arial" w:cs="Arial"/>
              </w:rPr>
            </w:pPr>
            <w:r w:rsidRPr="007A0EF2">
              <w:rPr>
                <w:rFonts w:ascii="Arial" w:hAnsi="Arial" w:cs="Arial"/>
              </w:rPr>
              <w:t>Can you confirm that you comply with the criteria of the “fit and proper person test”? (</w:t>
            </w:r>
            <w:proofErr w:type="gramStart"/>
            <w:r w:rsidRPr="007A0EF2">
              <w:rPr>
                <w:rFonts w:ascii="Arial" w:hAnsi="Arial" w:cs="Arial"/>
              </w:rPr>
              <w:t>see</w:t>
            </w:r>
            <w:proofErr w:type="gramEnd"/>
            <w:r w:rsidRPr="007A0EF2">
              <w:rPr>
                <w:rFonts w:ascii="Arial" w:hAnsi="Arial" w:cs="Arial"/>
              </w:rPr>
              <w:t xml:space="preserve"> link below)</w:t>
            </w:r>
          </w:p>
        </w:tc>
        <w:tc>
          <w:tcPr>
            <w:tcW w:w="705" w:type="dxa"/>
          </w:tcPr>
          <w:p w14:paraId="167EDB25" w14:textId="77777777" w:rsidR="002A74C5" w:rsidRPr="007A0EF2" w:rsidRDefault="002A74C5" w:rsidP="002A74C5">
            <w:pPr>
              <w:textAlignment w:val="baseline"/>
              <w:rPr>
                <w:rFonts w:ascii="Arial" w:eastAsia="Times New Roman" w:hAnsi="Arial" w:cs="Arial"/>
                <w:b/>
                <w:bCs/>
                <w:color w:val="000000" w:themeColor="text1"/>
                <w:bdr w:val="none" w:sz="0" w:space="0" w:color="auto" w:frame="1"/>
                <w:lang w:eastAsia="en-GB"/>
              </w:rPr>
            </w:pPr>
          </w:p>
        </w:tc>
        <w:tc>
          <w:tcPr>
            <w:tcW w:w="698" w:type="dxa"/>
          </w:tcPr>
          <w:p w14:paraId="1BA9D03E" w14:textId="77777777" w:rsidR="002A74C5" w:rsidRPr="007A0EF2" w:rsidRDefault="002A74C5" w:rsidP="002A74C5">
            <w:pPr>
              <w:textAlignment w:val="baseline"/>
              <w:rPr>
                <w:rFonts w:ascii="Arial" w:eastAsia="Times New Roman" w:hAnsi="Arial" w:cs="Arial"/>
                <w:b/>
                <w:bCs/>
                <w:color w:val="000000" w:themeColor="text1"/>
                <w:bdr w:val="none" w:sz="0" w:space="0" w:color="auto" w:frame="1"/>
                <w:lang w:eastAsia="en-GB"/>
              </w:rPr>
            </w:pPr>
          </w:p>
        </w:tc>
      </w:tr>
      <w:tr w:rsidR="002A74C5" w:rsidRPr="007A0EF2" w14:paraId="356EA74D" w14:textId="77777777" w:rsidTr="00932E32">
        <w:tc>
          <w:tcPr>
            <w:tcW w:w="430" w:type="dxa"/>
          </w:tcPr>
          <w:p w14:paraId="1C3AD363" w14:textId="55C81531" w:rsidR="002A74C5" w:rsidRPr="007A0EF2" w:rsidRDefault="00EF11E1" w:rsidP="002A74C5">
            <w:pPr>
              <w:spacing w:after="120" w:line="239" w:lineRule="auto"/>
              <w:rPr>
                <w:rFonts w:ascii="Arial" w:hAnsi="Arial" w:cs="Arial"/>
              </w:rPr>
            </w:pPr>
            <w:r w:rsidRPr="007A0EF2">
              <w:rPr>
                <w:rFonts w:ascii="Arial" w:hAnsi="Arial" w:cs="Arial"/>
              </w:rPr>
              <w:t>5)</w:t>
            </w:r>
          </w:p>
        </w:tc>
        <w:tc>
          <w:tcPr>
            <w:tcW w:w="7787" w:type="dxa"/>
          </w:tcPr>
          <w:p w14:paraId="17CC48A5" w14:textId="0D453EEE" w:rsidR="002A74C5" w:rsidRPr="007A0EF2" w:rsidRDefault="002A74C5" w:rsidP="002A74C5">
            <w:pPr>
              <w:textAlignment w:val="baseline"/>
              <w:rPr>
                <w:rFonts w:ascii="Arial" w:hAnsi="Arial" w:cs="Arial"/>
              </w:rPr>
            </w:pPr>
            <w:r w:rsidRPr="007A0EF2">
              <w:rPr>
                <w:rFonts w:ascii="Arial" w:hAnsi="Arial" w:cs="Arial"/>
              </w:rPr>
              <w:t>Can you confirm that you are willing and able to</w:t>
            </w:r>
            <w:r w:rsidRPr="007A0EF2">
              <w:rPr>
                <w:rFonts w:ascii="Arial" w:eastAsia="Calibri" w:hAnsi="Arial" w:cs="Arial"/>
                <w:color w:val="000000"/>
              </w:rPr>
              <w:t xml:space="preserve"> uphold the Seven Principles of Public Life (Nolan Principles)? (</w:t>
            </w:r>
            <w:proofErr w:type="gramStart"/>
            <w:r w:rsidRPr="007A0EF2">
              <w:rPr>
                <w:rFonts w:ascii="Arial" w:eastAsia="Calibri" w:hAnsi="Arial" w:cs="Arial"/>
                <w:color w:val="000000"/>
              </w:rPr>
              <w:t>see</w:t>
            </w:r>
            <w:proofErr w:type="gramEnd"/>
            <w:r w:rsidRPr="007A0EF2">
              <w:rPr>
                <w:rFonts w:ascii="Arial" w:eastAsia="Calibri" w:hAnsi="Arial" w:cs="Arial"/>
                <w:color w:val="000000"/>
              </w:rPr>
              <w:t xml:space="preserve"> overview below)</w:t>
            </w:r>
          </w:p>
        </w:tc>
        <w:tc>
          <w:tcPr>
            <w:tcW w:w="705" w:type="dxa"/>
          </w:tcPr>
          <w:p w14:paraId="130BA6F4" w14:textId="77777777" w:rsidR="002A74C5" w:rsidRPr="007A0EF2" w:rsidRDefault="002A74C5" w:rsidP="002A74C5">
            <w:pPr>
              <w:textAlignment w:val="baseline"/>
              <w:rPr>
                <w:rFonts w:ascii="Arial" w:eastAsia="Times New Roman" w:hAnsi="Arial" w:cs="Arial"/>
                <w:b/>
                <w:bCs/>
                <w:color w:val="000000" w:themeColor="text1"/>
                <w:bdr w:val="none" w:sz="0" w:space="0" w:color="auto" w:frame="1"/>
                <w:lang w:eastAsia="en-GB"/>
              </w:rPr>
            </w:pPr>
          </w:p>
        </w:tc>
        <w:tc>
          <w:tcPr>
            <w:tcW w:w="698" w:type="dxa"/>
          </w:tcPr>
          <w:p w14:paraId="41109D48" w14:textId="3255DF0D" w:rsidR="002A74C5" w:rsidRPr="007A0EF2" w:rsidRDefault="002A74C5" w:rsidP="002A74C5">
            <w:pPr>
              <w:textAlignment w:val="baseline"/>
              <w:rPr>
                <w:rFonts w:ascii="Arial" w:eastAsia="Times New Roman" w:hAnsi="Arial" w:cs="Arial"/>
                <w:b/>
                <w:bCs/>
                <w:color w:val="000000" w:themeColor="text1"/>
                <w:bdr w:val="none" w:sz="0" w:space="0" w:color="auto" w:frame="1"/>
                <w:lang w:eastAsia="en-GB"/>
              </w:rPr>
            </w:pPr>
          </w:p>
        </w:tc>
      </w:tr>
      <w:tr w:rsidR="002A74C5" w:rsidRPr="007A0EF2" w14:paraId="6E6772C3" w14:textId="77777777" w:rsidTr="00932E32">
        <w:tc>
          <w:tcPr>
            <w:tcW w:w="430" w:type="dxa"/>
          </w:tcPr>
          <w:p w14:paraId="77E09089" w14:textId="22985641" w:rsidR="002A74C5" w:rsidRPr="007A0EF2" w:rsidRDefault="00EF11E1" w:rsidP="002A74C5">
            <w:pPr>
              <w:spacing w:after="120" w:line="239" w:lineRule="auto"/>
              <w:rPr>
                <w:rFonts w:ascii="Arial" w:hAnsi="Arial" w:cs="Arial"/>
              </w:rPr>
            </w:pPr>
            <w:r w:rsidRPr="007A0EF2">
              <w:rPr>
                <w:rFonts w:ascii="Arial" w:hAnsi="Arial" w:cs="Arial"/>
              </w:rPr>
              <w:t>6)</w:t>
            </w:r>
          </w:p>
        </w:tc>
        <w:tc>
          <w:tcPr>
            <w:tcW w:w="7787" w:type="dxa"/>
          </w:tcPr>
          <w:p w14:paraId="7D15C310" w14:textId="1D73118A" w:rsidR="002A74C5" w:rsidRPr="007A0EF2" w:rsidRDefault="002A74C5" w:rsidP="002A74C5">
            <w:pPr>
              <w:textAlignment w:val="baseline"/>
              <w:rPr>
                <w:rFonts w:ascii="Arial" w:hAnsi="Arial" w:cs="Arial"/>
              </w:rPr>
            </w:pPr>
            <w:r w:rsidRPr="007A0EF2">
              <w:rPr>
                <w:rFonts w:ascii="Arial" w:hAnsi="Arial" w:cs="Arial"/>
              </w:rPr>
              <w:t xml:space="preserve">Have you completed the Declaration of </w:t>
            </w:r>
            <w:proofErr w:type="gramStart"/>
            <w:r w:rsidRPr="007A0EF2">
              <w:rPr>
                <w:rFonts w:ascii="Arial" w:hAnsi="Arial" w:cs="Arial"/>
              </w:rPr>
              <w:t>interests</w:t>
            </w:r>
            <w:proofErr w:type="gramEnd"/>
            <w:r w:rsidRPr="007A0EF2">
              <w:rPr>
                <w:rFonts w:ascii="Arial" w:hAnsi="Arial" w:cs="Arial"/>
              </w:rPr>
              <w:t xml:space="preserve"> form?</w:t>
            </w:r>
          </w:p>
        </w:tc>
        <w:tc>
          <w:tcPr>
            <w:tcW w:w="705" w:type="dxa"/>
          </w:tcPr>
          <w:p w14:paraId="46E94136" w14:textId="77777777" w:rsidR="002A74C5" w:rsidRPr="007A0EF2" w:rsidRDefault="002A74C5" w:rsidP="002A74C5">
            <w:pPr>
              <w:textAlignment w:val="baseline"/>
              <w:rPr>
                <w:rFonts w:ascii="Arial" w:eastAsia="Times New Roman" w:hAnsi="Arial" w:cs="Arial"/>
                <w:b/>
                <w:bCs/>
                <w:color w:val="000000" w:themeColor="text1"/>
                <w:bdr w:val="none" w:sz="0" w:space="0" w:color="auto" w:frame="1"/>
                <w:lang w:eastAsia="en-GB"/>
              </w:rPr>
            </w:pPr>
          </w:p>
        </w:tc>
        <w:tc>
          <w:tcPr>
            <w:tcW w:w="698" w:type="dxa"/>
          </w:tcPr>
          <w:p w14:paraId="7D778CF4" w14:textId="68738A03" w:rsidR="002A74C5" w:rsidRPr="007A0EF2" w:rsidRDefault="002A74C5" w:rsidP="002A74C5">
            <w:pPr>
              <w:textAlignment w:val="baseline"/>
              <w:rPr>
                <w:rFonts w:ascii="Arial" w:eastAsia="Times New Roman" w:hAnsi="Arial" w:cs="Arial"/>
                <w:b/>
                <w:bCs/>
                <w:color w:val="000000" w:themeColor="text1"/>
                <w:bdr w:val="none" w:sz="0" w:space="0" w:color="auto" w:frame="1"/>
                <w:lang w:eastAsia="en-GB"/>
              </w:rPr>
            </w:pPr>
          </w:p>
        </w:tc>
      </w:tr>
      <w:tr w:rsidR="002A74C5" w:rsidRPr="007A0EF2" w14:paraId="438DB9EF" w14:textId="77777777" w:rsidTr="00932E32">
        <w:tc>
          <w:tcPr>
            <w:tcW w:w="430" w:type="dxa"/>
          </w:tcPr>
          <w:p w14:paraId="7356C51A" w14:textId="40173E2C" w:rsidR="002A74C5" w:rsidRPr="007A0EF2" w:rsidRDefault="00EF11E1" w:rsidP="002A74C5">
            <w:pPr>
              <w:spacing w:after="120" w:line="239" w:lineRule="auto"/>
              <w:rPr>
                <w:rFonts w:ascii="Arial" w:hAnsi="Arial" w:cs="Arial"/>
              </w:rPr>
            </w:pPr>
            <w:r w:rsidRPr="007A0EF2">
              <w:rPr>
                <w:rFonts w:ascii="Arial" w:hAnsi="Arial" w:cs="Arial"/>
              </w:rPr>
              <w:t>7)</w:t>
            </w:r>
          </w:p>
        </w:tc>
        <w:tc>
          <w:tcPr>
            <w:tcW w:w="7787" w:type="dxa"/>
          </w:tcPr>
          <w:p w14:paraId="62D4742C" w14:textId="05715916" w:rsidR="002A74C5" w:rsidRPr="007A0EF2" w:rsidRDefault="002A74C5" w:rsidP="002A74C5">
            <w:pPr>
              <w:textAlignment w:val="baseline"/>
              <w:rPr>
                <w:rFonts w:ascii="Arial" w:hAnsi="Arial" w:cs="Arial"/>
              </w:rPr>
            </w:pPr>
            <w:r w:rsidRPr="007A0EF2">
              <w:rPr>
                <w:rFonts w:ascii="Arial" w:hAnsi="Arial" w:cs="Arial"/>
              </w:rPr>
              <w:t xml:space="preserve">Are you able to commit to attend </w:t>
            </w:r>
            <w:proofErr w:type="gramStart"/>
            <w:r w:rsidRPr="007A0EF2">
              <w:rPr>
                <w:rFonts w:ascii="Arial" w:hAnsi="Arial" w:cs="Arial"/>
              </w:rPr>
              <w:t>all of</w:t>
            </w:r>
            <w:proofErr w:type="gramEnd"/>
            <w:r w:rsidRPr="007A0EF2">
              <w:rPr>
                <w:rFonts w:ascii="Arial" w:hAnsi="Arial" w:cs="Arial"/>
              </w:rPr>
              <w:t xml:space="preserve"> the Integrated Care Board meetings (frequency to be added)?</w:t>
            </w:r>
          </w:p>
        </w:tc>
        <w:tc>
          <w:tcPr>
            <w:tcW w:w="705" w:type="dxa"/>
          </w:tcPr>
          <w:p w14:paraId="0B79B466" w14:textId="77777777" w:rsidR="002A74C5" w:rsidRPr="007A0EF2" w:rsidRDefault="002A74C5" w:rsidP="002A74C5">
            <w:pPr>
              <w:textAlignment w:val="baseline"/>
              <w:rPr>
                <w:rFonts w:ascii="Arial" w:eastAsia="Times New Roman" w:hAnsi="Arial" w:cs="Arial"/>
                <w:b/>
                <w:bCs/>
                <w:color w:val="000000" w:themeColor="text1"/>
                <w:bdr w:val="none" w:sz="0" w:space="0" w:color="auto" w:frame="1"/>
                <w:lang w:eastAsia="en-GB"/>
              </w:rPr>
            </w:pPr>
          </w:p>
        </w:tc>
        <w:tc>
          <w:tcPr>
            <w:tcW w:w="698" w:type="dxa"/>
          </w:tcPr>
          <w:p w14:paraId="570A5C8F" w14:textId="2EF1D591" w:rsidR="002A74C5" w:rsidRPr="007A0EF2" w:rsidRDefault="002A74C5" w:rsidP="002A74C5">
            <w:pPr>
              <w:textAlignment w:val="baseline"/>
              <w:rPr>
                <w:rFonts w:ascii="Arial" w:eastAsia="Times New Roman" w:hAnsi="Arial" w:cs="Arial"/>
                <w:b/>
                <w:bCs/>
                <w:color w:val="000000" w:themeColor="text1"/>
                <w:bdr w:val="none" w:sz="0" w:space="0" w:color="auto" w:frame="1"/>
                <w:lang w:eastAsia="en-GB"/>
              </w:rPr>
            </w:pPr>
          </w:p>
        </w:tc>
      </w:tr>
    </w:tbl>
    <w:p w14:paraId="7E3145E7" w14:textId="5856F1A9" w:rsidR="002F056B" w:rsidRPr="007A0EF2" w:rsidRDefault="002F056B">
      <w:pPr>
        <w:rPr>
          <w:rFonts w:ascii="Arial" w:hAnsi="Arial" w:cs="Arial"/>
        </w:rPr>
      </w:pPr>
    </w:p>
    <w:p w14:paraId="1A81BBE2" w14:textId="3C72ECB0" w:rsidR="00AF555A" w:rsidRPr="007A0EF2" w:rsidRDefault="00E93463">
      <w:pPr>
        <w:rPr>
          <w:rFonts w:ascii="Arial" w:hAnsi="Arial" w:cs="Arial"/>
        </w:rPr>
      </w:pPr>
      <w:hyperlink r:id="rId10">
        <w:r w:rsidR="79818258" w:rsidRPr="79818258">
          <w:rPr>
            <w:rStyle w:val="Hyperlink"/>
            <w:rFonts w:ascii="Arial" w:hAnsi="Arial" w:cs="Arial"/>
          </w:rPr>
          <w:t>https://www.england.nhs.uk/non-executive-opportunities/wp-content/uploads/sites/54/2021/02/The-Nolan-Principles-of-Public-Life.pdf</w:t>
        </w:r>
      </w:hyperlink>
      <w:r w:rsidR="79818258" w:rsidRPr="79818258">
        <w:rPr>
          <w:rFonts w:ascii="Arial" w:hAnsi="Arial" w:cs="Arial"/>
        </w:rPr>
        <w:t xml:space="preserve"> </w:t>
      </w:r>
    </w:p>
    <w:p w14:paraId="520FCBB4" w14:textId="57E21A70" w:rsidR="00AF555A" w:rsidRPr="007A0EF2" w:rsidRDefault="00530DE4">
      <w:pPr>
        <w:rPr>
          <w:rFonts w:ascii="Arial" w:hAnsi="Arial" w:cs="Arial"/>
          <w:b/>
          <w:u w:val="single"/>
        </w:rPr>
      </w:pPr>
      <w:r w:rsidRPr="007A0EF2">
        <w:rPr>
          <w:rFonts w:ascii="Arial" w:hAnsi="Arial" w:cs="Arial"/>
          <w:b/>
          <w:u w:val="single"/>
        </w:rPr>
        <w:t>Additional i</w:t>
      </w:r>
      <w:r w:rsidR="00AF555A" w:rsidRPr="007A0EF2">
        <w:rPr>
          <w:rFonts w:ascii="Arial" w:hAnsi="Arial" w:cs="Arial"/>
          <w:b/>
          <w:u w:val="single"/>
        </w:rPr>
        <w:t>nformation</w:t>
      </w:r>
    </w:p>
    <w:p w14:paraId="1BB81678" w14:textId="65DCEF40" w:rsidR="00AF555A" w:rsidRPr="007A0EF2" w:rsidRDefault="00AF555A">
      <w:pPr>
        <w:rPr>
          <w:rFonts w:ascii="Arial" w:hAnsi="Arial" w:cs="Arial"/>
          <w:b/>
        </w:rPr>
      </w:pPr>
      <w:r w:rsidRPr="007A0EF2">
        <w:rPr>
          <w:rFonts w:ascii="Arial" w:hAnsi="Arial" w:cs="Arial"/>
          <w:b/>
        </w:rPr>
        <w:t>Section 11 of NCL’s draft Constitution</w:t>
      </w:r>
      <w:r w:rsidR="00530DE4" w:rsidRPr="007A0EF2">
        <w:rPr>
          <w:rFonts w:ascii="Arial" w:hAnsi="Arial" w:cs="Arial"/>
          <w:b/>
        </w:rPr>
        <w:t xml:space="preserve"> states</w:t>
      </w:r>
    </w:p>
    <w:p w14:paraId="723D0D6D" w14:textId="0C45CD44" w:rsidR="00AF555A" w:rsidRPr="007A0EF2" w:rsidRDefault="00AF555A" w:rsidP="00AF555A">
      <w:pPr>
        <w:spacing w:after="0" w:line="240" w:lineRule="auto"/>
        <w:ind w:hanging="567"/>
        <w:jc w:val="both"/>
        <w:rPr>
          <w:rFonts w:ascii="Arial" w:eastAsia="Calibri" w:hAnsi="Arial" w:cs="Arial"/>
          <w:b/>
          <w:color w:val="005EB8"/>
        </w:rPr>
      </w:pPr>
      <w:r w:rsidRPr="007A0EF2">
        <w:rPr>
          <w:rFonts w:ascii="Arial" w:eastAsia="Calibri" w:hAnsi="Arial" w:cs="Arial"/>
          <w:b/>
          <w:color w:val="005EB8"/>
        </w:rPr>
        <w:t>11.</w:t>
      </w:r>
      <w:r w:rsidRPr="007A0EF2">
        <w:rPr>
          <w:rFonts w:ascii="Arial" w:eastAsia="Calibri" w:hAnsi="Arial" w:cs="Arial"/>
          <w:b/>
          <w:color w:val="005EB8"/>
        </w:rPr>
        <w:tab/>
        <w:t>DISQUALIFICATION CRITERIA FOR BOARD MEMBERSHIP</w:t>
      </w:r>
    </w:p>
    <w:p w14:paraId="2B390D01" w14:textId="77777777" w:rsidR="00AF555A" w:rsidRPr="007A0EF2" w:rsidRDefault="00AF555A" w:rsidP="00AF555A">
      <w:pPr>
        <w:spacing w:after="0" w:line="240" w:lineRule="auto"/>
        <w:ind w:hanging="567"/>
        <w:jc w:val="both"/>
        <w:rPr>
          <w:rFonts w:ascii="Arial" w:eastAsia="Calibri" w:hAnsi="Arial" w:cs="Arial"/>
        </w:rPr>
      </w:pPr>
    </w:p>
    <w:p w14:paraId="46B4A353" w14:textId="77777777" w:rsidR="00AF555A" w:rsidRPr="007A0EF2" w:rsidRDefault="00AF555A" w:rsidP="00AF555A">
      <w:pPr>
        <w:spacing w:after="0" w:line="240" w:lineRule="auto"/>
        <w:ind w:hanging="567"/>
        <w:jc w:val="both"/>
        <w:rPr>
          <w:rFonts w:ascii="Arial" w:eastAsia="Calibri" w:hAnsi="Arial" w:cs="Arial"/>
        </w:rPr>
      </w:pPr>
      <w:r w:rsidRPr="007A0EF2">
        <w:rPr>
          <w:rFonts w:ascii="Arial" w:eastAsia="Calibri" w:hAnsi="Arial" w:cs="Arial"/>
        </w:rPr>
        <w:t>11.1</w:t>
      </w:r>
      <w:r w:rsidRPr="007A0EF2">
        <w:rPr>
          <w:rFonts w:ascii="Arial" w:eastAsia="Calibri" w:hAnsi="Arial" w:cs="Arial"/>
        </w:rPr>
        <w:tab/>
        <w:t>The following individuals are automatically disqualified from being a member of the ICB Board:</w:t>
      </w:r>
    </w:p>
    <w:p w14:paraId="1AEA7754" w14:textId="77777777" w:rsidR="00AF555A" w:rsidRPr="007A0EF2" w:rsidRDefault="00AF555A" w:rsidP="00AF555A">
      <w:pPr>
        <w:numPr>
          <w:ilvl w:val="0"/>
          <w:numId w:val="3"/>
        </w:numPr>
        <w:spacing w:after="0" w:line="240" w:lineRule="auto"/>
        <w:contextualSpacing/>
        <w:jc w:val="both"/>
        <w:outlineLvl w:val="2"/>
        <w:rPr>
          <w:rFonts w:ascii="Arial" w:eastAsia="Times New Roman" w:hAnsi="Arial" w:cs="Arial"/>
          <w:bCs/>
          <w:iCs/>
        </w:rPr>
      </w:pPr>
      <w:r w:rsidRPr="007A0EF2">
        <w:rPr>
          <w:rFonts w:ascii="Arial" w:eastAsia="Times New Roman" w:hAnsi="Arial" w:cs="Arial"/>
          <w:bCs/>
          <w:iCs/>
        </w:rPr>
        <w:t xml:space="preserve">A Member of </w:t>
      </w:r>
      <w:proofErr w:type="gramStart"/>
      <w:r w:rsidRPr="007A0EF2">
        <w:rPr>
          <w:rFonts w:ascii="Arial" w:eastAsia="Times New Roman" w:hAnsi="Arial" w:cs="Arial"/>
          <w:bCs/>
          <w:iCs/>
        </w:rPr>
        <w:t>Parliament;</w:t>
      </w:r>
      <w:proofErr w:type="gramEnd"/>
    </w:p>
    <w:p w14:paraId="2FF092A1" w14:textId="77777777" w:rsidR="00AF555A" w:rsidRPr="007A0EF2" w:rsidRDefault="00AF555A" w:rsidP="00AF555A">
      <w:pPr>
        <w:spacing w:after="0" w:line="240" w:lineRule="auto"/>
        <w:jc w:val="both"/>
        <w:rPr>
          <w:rFonts w:ascii="Arial" w:eastAsia="Calibri" w:hAnsi="Arial" w:cs="Arial"/>
        </w:rPr>
      </w:pPr>
    </w:p>
    <w:p w14:paraId="3B35FE69" w14:textId="77777777" w:rsidR="00AF555A" w:rsidRPr="007A0EF2" w:rsidRDefault="00AF555A" w:rsidP="00AF555A">
      <w:pPr>
        <w:numPr>
          <w:ilvl w:val="0"/>
          <w:numId w:val="3"/>
        </w:numPr>
        <w:spacing w:after="0" w:line="240" w:lineRule="auto"/>
        <w:contextualSpacing/>
        <w:jc w:val="both"/>
        <w:outlineLvl w:val="2"/>
        <w:rPr>
          <w:rFonts w:ascii="Arial" w:eastAsia="Times New Roman" w:hAnsi="Arial" w:cs="Arial"/>
          <w:bCs/>
          <w:iCs/>
        </w:rPr>
      </w:pPr>
      <w:r w:rsidRPr="007A0EF2">
        <w:rPr>
          <w:rFonts w:ascii="Arial" w:eastAsia="Times New Roman" w:hAnsi="Arial" w:cs="Arial"/>
          <w:bCs/>
          <w:iCs/>
        </w:rPr>
        <w:t xml:space="preserve">A person whose appointment as a Board member (‘Candidate’) is considered by the person making the appointment as one which could reasonably be regarded as undermining the independence of the health service because of the Candidate’s involvement with the private healthcare sector or </w:t>
      </w:r>
      <w:proofErr w:type="gramStart"/>
      <w:r w:rsidRPr="007A0EF2">
        <w:rPr>
          <w:rFonts w:ascii="Arial" w:eastAsia="Times New Roman" w:hAnsi="Arial" w:cs="Arial"/>
          <w:bCs/>
          <w:iCs/>
        </w:rPr>
        <w:t>otherwise;</w:t>
      </w:r>
      <w:proofErr w:type="gramEnd"/>
      <w:r w:rsidRPr="007A0EF2">
        <w:rPr>
          <w:rFonts w:ascii="Arial" w:eastAsia="Times New Roman" w:hAnsi="Arial" w:cs="Arial"/>
          <w:bCs/>
          <w:iCs/>
        </w:rPr>
        <w:t xml:space="preserve"> </w:t>
      </w:r>
    </w:p>
    <w:p w14:paraId="216DC668" w14:textId="77777777" w:rsidR="00AF555A" w:rsidRPr="007A0EF2" w:rsidRDefault="00AF555A" w:rsidP="00AF555A">
      <w:pPr>
        <w:spacing w:after="0" w:line="240" w:lineRule="auto"/>
        <w:jc w:val="both"/>
        <w:rPr>
          <w:rFonts w:ascii="Arial" w:eastAsia="Calibri" w:hAnsi="Arial" w:cs="Arial"/>
        </w:rPr>
      </w:pPr>
    </w:p>
    <w:p w14:paraId="0B614978" w14:textId="77777777" w:rsidR="00AF555A" w:rsidRPr="007A0EF2" w:rsidRDefault="00AF555A" w:rsidP="00AF555A">
      <w:pPr>
        <w:numPr>
          <w:ilvl w:val="0"/>
          <w:numId w:val="3"/>
        </w:numPr>
        <w:spacing w:after="0" w:line="240" w:lineRule="auto"/>
        <w:contextualSpacing/>
        <w:jc w:val="both"/>
        <w:outlineLvl w:val="2"/>
        <w:rPr>
          <w:rFonts w:ascii="Arial" w:eastAsia="Times New Roman" w:hAnsi="Arial" w:cs="Arial"/>
          <w:bCs/>
          <w:iCs/>
        </w:rPr>
      </w:pPr>
      <w:r w:rsidRPr="007A0EF2">
        <w:rPr>
          <w:rFonts w:ascii="Arial" w:eastAsia="Times New Roman" w:hAnsi="Arial" w:cs="Arial"/>
          <w:bCs/>
          <w:iCs/>
        </w:rPr>
        <w:t>A person who, within the period of five years immediately preceding the date of the proposed appointment, has been convicted—</w:t>
      </w:r>
    </w:p>
    <w:p w14:paraId="2E4C3139" w14:textId="77777777" w:rsidR="00AF555A" w:rsidRPr="007A0EF2" w:rsidRDefault="00AF555A" w:rsidP="00AF555A">
      <w:pPr>
        <w:numPr>
          <w:ilvl w:val="0"/>
          <w:numId w:val="4"/>
        </w:numPr>
        <w:spacing w:after="0" w:line="240" w:lineRule="auto"/>
        <w:contextualSpacing/>
        <w:jc w:val="both"/>
        <w:outlineLvl w:val="2"/>
        <w:rPr>
          <w:rFonts w:ascii="Arial" w:eastAsia="Times New Roman" w:hAnsi="Arial" w:cs="Arial"/>
          <w:bCs/>
          <w:iCs/>
        </w:rPr>
      </w:pPr>
      <w:r w:rsidRPr="007A0EF2">
        <w:rPr>
          <w:rFonts w:ascii="Arial" w:eastAsia="Times New Roman" w:hAnsi="Arial" w:cs="Arial"/>
          <w:bCs/>
          <w:iCs/>
        </w:rPr>
        <w:t xml:space="preserve">in the United Kingdom of any offence, or  </w:t>
      </w:r>
    </w:p>
    <w:p w14:paraId="3C092D20" w14:textId="77777777" w:rsidR="00AF555A" w:rsidRPr="007A0EF2" w:rsidRDefault="00AF555A" w:rsidP="00AF555A">
      <w:pPr>
        <w:numPr>
          <w:ilvl w:val="0"/>
          <w:numId w:val="4"/>
        </w:numPr>
        <w:spacing w:after="0" w:line="240" w:lineRule="auto"/>
        <w:contextualSpacing/>
        <w:jc w:val="both"/>
        <w:outlineLvl w:val="2"/>
        <w:rPr>
          <w:rFonts w:ascii="Arial" w:eastAsia="Times New Roman" w:hAnsi="Arial" w:cs="Arial"/>
          <w:bCs/>
          <w:iCs/>
        </w:rPr>
      </w:pPr>
      <w:r w:rsidRPr="007A0EF2">
        <w:rPr>
          <w:rFonts w:ascii="Arial" w:eastAsia="Times New Roman" w:hAnsi="Arial" w:cs="Arial"/>
          <w:bCs/>
          <w:iCs/>
        </w:rPr>
        <w:t xml:space="preserve">outside the United Kingdom of an offence which, if committed in any part of the United Kingdom, would constitute a criminal offence in that part, and, in either case, the final outcome of the proceedings was a sentence of imprisonment (whether suspended or not) for a period of not less than three months without the option of a </w:t>
      </w:r>
      <w:proofErr w:type="gramStart"/>
      <w:r w:rsidRPr="007A0EF2">
        <w:rPr>
          <w:rFonts w:ascii="Arial" w:eastAsia="Times New Roman" w:hAnsi="Arial" w:cs="Arial"/>
          <w:bCs/>
          <w:iCs/>
        </w:rPr>
        <w:t>fine;</w:t>
      </w:r>
      <w:proofErr w:type="gramEnd"/>
    </w:p>
    <w:p w14:paraId="47150129" w14:textId="77777777" w:rsidR="00AF555A" w:rsidRPr="007A0EF2" w:rsidRDefault="00AF555A" w:rsidP="00AF555A">
      <w:pPr>
        <w:spacing w:after="0" w:line="240" w:lineRule="auto"/>
        <w:ind w:left="1440"/>
        <w:contextualSpacing/>
        <w:jc w:val="both"/>
        <w:outlineLvl w:val="2"/>
        <w:rPr>
          <w:rFonts w:ascii="Arial" w:eastAsia="Times New Roman" w:hAnsi="Arial" w:cs="Arial"/>
          <w:bCs/>
          <w:iCs/>
        </w:rPr>
      </w:pPr>
    </w:p>
    <w:p w14:paraId="0BDA6840" w14:textId="77777777" w:rsidR="00AF555A" w:rsidRPr="007A0EF2" w:rsidRDefault="00AF555A" w:rsidP="00AF555A">
      <w:pPr>
        <w:numPr>
          <w:ilvl w:val="0"/>
          <w:numId w:val="3"/>
        </w:numPr>
        <w:spacing w:after="0" w:line="240" w:lineRule="auto"/>
        <w:contextualSpacing/>
        <w:jc w:val="both"/>
        <w:outlineLvl w:val="2"/>
        <w:rPr>
          <w:rFonts w:ascii="Arial" w:eastAsia="Times New Roman" w:hAnsi="Arial" w:cs="Arial"/>
          <w:bCs/>
          <w:iCs/>
        </w:rPr>
      </w:pPr>
      <w:r w:rsidRPr="007A0EF2">
        <w:rPr>
          <w:rFonts w:ascii="Arial" w:eastAsia="Times New Roman" w:hAnsi="Arial" w:cs="Arial"/>
          <w:bCs/>
          <w:iCs/>
        </w:rPr>
        <w:t>A person who is subject to a bankruptcy restrictions order or an interim bankruptcy restrictions order under Schedule 4A to the Insolvency Act 1986, sections 56A to 56K of the Bankruptcy (Scotland) Act 1985 or Schedule 2A to the Insolvency (Northern Ireland) Order 1989 (which relate to bankruptcy restrictions orders and undertakings</w:t>
      </w:r>
      <w:proofErr w:type="gramStart"/>
      <w:r w:rsidRPr="007A0EF2">
        <w:rPr>
          <w:rFonts w:ascii="Arial" w:eastAsia="Times New Roman" w:hAnsi="Arial" w:cs="Arial"/>
          <w:bCs/>
          <w:iCs/>
        </w:rPr>
        <w:t>);</w:t>
      </w:r>
      <w:proofErr w:type="gramEnd"/>
    </w:p>
    <w:p w14:paraId="54DE175F" w14:textId="77777777" w:rsidR="00AF555A" w:rsidRPr="007A0EF2" w:rsidRDefault="00AF555A" w:rsidP="00AF555A">
      <w:pPr>
        <w:spacing w:after="0" w:line="240" w:lineRule="auto"/>
        <w:ind w:left="720"/>
        <w:contextualSpacing/>
        <w:jc w:val="both"/>
        <w:outlineLvl w:val="2"/>
        <w:rPr>
          <w:rFonts w:ascii="Arial" w:eastAsia="Times New Roman" w:hAnsi="Arial" w:cs="Arial"/>
          <w:bCs/>
          <w:iCs/>
        </w:rPr>
      </w:pPr>
    </w:p>
    <w:p w14:paraId="67337339" w14:textId="77777777" w:rsidR="00AF555A" w:rsidRPr="007A0EF2" w:rsidRDefault="00AF555A" w:rsidP="00AF555A">
      <w:pPr>
        <w:numPr>
          <w:ilvl w:val="0"/>
          <w:numId w:val="3"/>
        </w:numPr>
        <w:spacing w:after="0" w:line="240" w:lineRule="auto"/>
        <w:contextualSpacing/>
        <w:jc w:val="both"/>
        <w:outlineLvl w:val="2"/>
        <w:rPr>
          <w:rFonts w:ascii="Arial" w:eastAsia="Times New Roman" w:hAnsi="Arial" w:cs="Arial"/>
          <w:bCs/>
          <w:iCs/>
        </w:rPr>
      </w:pPr>
      <w:r w:rsidRPr="007A0EF2">
        <w:rPr>
          <w:rFonts w:ascii="Arial" w:eastAsia="Times New Roman" w:hAnsi="Arial" w:cs="Arial"/>
          <w:bCs/>
          <w:iCs/>
        </w:rPr>
        <w:t xml:space="preserve">A person who, has been dismissed within the period of five years immediately preceding the date of the proposed appointment, otherwise than because of redundancy, from paid employment by any Health Service </w:t>
      </w:r>
      <w:proofErr w:type="gramStart"/>
      <w:r w:rsidRPr="007A0EF2">
        <w:rPr>
          <w:rFonts w:ascii="Arial" w:eastAsia="Times New Roman" w:hAnsi="Arial" w:cs="Arial"/>
          <w:bCs/>
          <w:iCs/>
        </w:rPr>
        <w:t>Body;</w:t>
      </w:r>
      <w:proofErr w:type="gramEnd"/>
    </w:p>
    <w:p w14:paraId="3BD83822" w14:textId="77777777" w:rsidR="00AF555A" w:rsidRPr="007A0EF2" w:rsidRDefault="00AF555A" w:rsidP="00AF555A">
      <w:pPr>
        <w:spacing w:after="0" w:line="240" w:lineRule="auto"/>
        <w:jc w:val="both"/>
        <w:rPr>
          <w:rFonts w:ascii="Arial" w:eastAsia="Calibri" w:hAnsi="Arial" w:cs="Arial"/>
        </w:rPr>
      </w:pPr>
    </w:p>
    <w:p w14:paraId="70EE55CD" w14:textId="77777777" w:rsidR="00AF555A" w:rsidRPr="007A0EF2" w:rsidRDefault="00AF555A" w:rsidP="00AF555A">
      <w:pPr>
        <w:numPr>
          <w:ilvl w:val="0"/>
          <w:numId w:val="3"/>
        </w:numPr>
        <w:spacing w:after="0" w:line="240" w:lineRule="auto"/>
        <w:contextualSpacing/>
        <w:jc w:val="both"/>
        <w:outlineLvl w:val="2"/>
        <w:rPr>
          <w:rFonts w:ascii="Arial" w:eastAsia="Times New Roman" w:hAnsi="Arial" w:cs="Arial"/>
          <w:bCs/>
          <w:iCs/>
        </w:rPr>
      </w:pPr>
      <w:r w:rsidRPr="007A0EF2">
        <w:rPr>
          <w:rFonts w:ascii="Arial" w:eastAsia="Times New Roman" w:hAnsi="Arial" w:cs="Arial"/>
          <w:bCs/>
          <w:iCs/>
        </w:rPr>
        <w:t xml:space="preserve">A person whose term of appointment as the chair, a member, a </w:t>
      </w:r>
      <w:proofErr w:type="gramStart"/>
      <w:r w:rsidRPr="007A0EF2">
        <w:rPr>
          <w:rFonts w:ascii="Arial" w:eastAsia="Times New Roman" w:hAnsi="Arial" w:cs="Arial"/>
          <w:bCs/>
          <w:iCs/>
        </w:rPr>
        <w:t>director</w:t>
      </w:r>
      <w:proofErr w:type="gramEnd"/>
      <w:r w:rsidRPr="007A0EF2">
        <w:rPr>
          <w:rFonts w:ascii="Arial" w:eastAsia="Times New Roman" w:hAnsi="Arial" w:cs="Arial"/>
          <w:bCs/>
          <w:iCs/>
        </w:rPr>
        <w:t xml:space="preserve"> or a governor of a health service body, has been terminated on the grounds:</w:t>
      </w:r>
    </w:p>
    <w:p w14:paraId="025E976E" w14:textId="77777777" w:rsidR="00AF555A" w:rsidRPr="007A0EF2" w:rsidRDefault="00AF555A" w:rsidP="00AF555A">
      <w:pPr>
        <w:numPr>
          <w:ilvl w:val="0"/>
          <w:numId w:val="5"/>
        </w:numPr>
        <w:spacing w:after="0" w:line="240" w:lineRule="auto"/>
        <w:contextualSpacing/>
        <w:jc w:val="both"/>
        <w:outlineLvl w:val="2"/>
        <w:rPr>
          <w:rFonts w:ascii="Arial" w:eastAsia="Times New Roman" w:hAnsi="Arial" w:cs="Arial"/>
          <w:bCs/>
          <w:iCs/>
        </w:rPr>
      </w:pPr>
      <w:r w:rsidRPr="007A0EF2">
        <w:rPr>
          <w:rFonts w:ascii="Arial" w:eastAsia="Times New Roman" w:hAnsi="Arial" w:cs="Arial"/>
          <w:bCs/>
          <w:iCs/>
        </w:rPr>
        <w:t>That it was not in the interests of, or conducive to the good management of, the health service body or of the health service that the person should continue to hold that office; and/or</w:t>
      </w:r>
    </w:p>
    <w:p w14:paraId="01E4177A" w14:textId="77777777" w:rsidR="00AF555A" w:rsidRPr="007A0EF2" w:rsidRDefault="00AF555A" w:rsidP="00AF555A">
      <w:pPr>
        <w:numPr>
          <w:ilvl w:val="0"/>
          <w:numId w:val="5"/>
        </w:numPr>
        <w:spacing w:after="0" w:line="240" w:lineRule="auto"/>
        <w:contextualSpacing/>
        <w:jc w:val="both"/>
        <w:outlineLvl w:val="2"/>
        <w:rPr>
          <w:rFonts w:ascii="Arial" w:eastAsia="Times New Roman" w:hAnsi="Arial" w:cs="Arial"/>
          <w:bCs/>
          <w:iCs/>
        </w:rPr>
      </w:pPr>
      <w:r w:rsidRPr="007A0EF2">
        <w:rPr>
          <w:rFonts w:ascii="Arial" w:eastAsia="Times New Roman" w:hAnsi="Arial" w:cs="Arial"/>
          <w:bCs/>
          <w:iCs/>
        </w:rPr>
        <w:t xml:space="preserve">That the person failed, without reasonable cause, to attend any meeting of that health service body for three successive </w:t>
      </w:r>
      <w:proofErr w:type="gramStart"/>
      <w:r w:rsidRPr="007A0EF2">
        <w:rPr>
          <w:rFonts w:ascii="Arial" w:eastAsia="Times New Roman" w:hAnsi="Arial" w:cs="Arial"/>
          <w:bCs/>
          <w:iCs/>
        </w:rPr>
        <w:t>meetings;</w:t>
      </w:r>
      <w:proofErr w:type="gramEnd"/>
      <w:r w:rsidRPr="007A0EF2">
        <w:rPr>
          <w:rFonts w:ascii="Arial" w:eastAsia="Times New Roman" w:hAnsi="Arial" w:cs="Arial"/>
          <w:bCs/>
          <w:iCs/>
        </w:rPr>
        <w:t xml:space="preserve"> and/or</w:t>
      </w:r>
    </w:p>
    <w:p w14:paraId="266565DC" w14:textId="77777777" w:rsidR="00AF555A" w:rsidRPr="007A0EF2" w:rsidRDefault="00AF555A" w:rsidP="00AF555A">
      <w:pPr>
        <w:numPr>
          <w:ilvl w:val="0"/>
          <w:numId w:val="5"/>
        </w:numPr>
        <w:spacing w:after="0" w:line="240" w:lineRule="auto"/>
        <w:contextualSpacing/>
        <w:jc w:val="both"/>
        <w:outlineLvl w:val="2"/>
        <w:rPr>
          <w:rFonts w:ascii="Arial" w:eastAsia="Times New Roman" w:hAnsi="Arial" w:cs="Arial"/>
          <w:bCs/>
          <w:iCs/>
        </w:rPr>
      </w:pPr>
      <w:r w:rsidRPr="007A0EF2">
        <w:rPr>
          <w:rFonts w:ascii="Arial" w:eastAsia="Times New Roman" w:hAnsi="Arial" w:cs="Arial"/>
          <w:bCs/>
          <w:iCs/>
        </w:rPr>
        <w:t>That the person failed to declare a pecuniary interest or withdraw from consideration of any matter in respect of which that person had a pecuniary interest; and/or</w:t>
      </w:r>
    </w:p>
    <w:p w14:paraId="1B017ECA" w14:textId="77777777" w:rsidR="00AF555A" w:rsidRPr="007A0EF2" w:rsidRDefault="00AF555A" w:rsidP="00AF555A">
      <w:pPr>
        <w:numPr>
          <w:ilvl w:val="0"/>
          <w:numId w:val="5"/>
        </w:numPr>
        <w:spacing w:after="0" w:line="240" w:lineRule="auto"/>
        <w:contextualSpacing/>
        <w:jc w:val="both"/>
        <w:outlineLvl w:val="2"/>
        <w:rPr>
          <w:rFonts w:ascii="Arial" w:eastAsia="Times New Roman" w:hAnsi="Arial" w:cs="Arial"/>
          <w:bCs/>
          <w:iCs/>
        </w:rPr>
      </w:pPr>
      <w:r w:rsidRPr="007A0EF2">
        <w:rPr>
          <w:rFonts w:ascii="Arial" w:eastAsia="Times New Roman" w:hAnsi="Arial" w:cs="Arial"/>
          <w:bCs/>
          <w:iCs/>
        </w:rPr>
        <w:t xml:space="preserve">of misbehaviour, misconduct or failure to carry out the person’s </w:t>
      </w:r>
      <w:proofErr w:type="gramStart"/>
      <w:r w:rsidRPr="007A0EF2">
        <w:rPr>
          <w:rFonts w:ascii="Arial" w:eastAsia="Times New Roman" w:hAnsi="Arial" w:cs="Arial"/>
          <w:bCs/>
          <w:iCs/>
        </w:rPr>
        <w:t>duties;</w:t>
      </w:r>
      <w:proofErr w:type="gramEnd"/>
    </w:p>
    <w:p w14:paraId="2369BD5D" w14:textId="77777777" w:rsidR="00AF555A" w:rsidRPr="007A0EF2" w:rsidRDefault="00AF555A" w:rsidP="00AF555A">
      <w:pPr>
        <w:spacing w:after="0" w:line="240" w:lineRule="auto"/>
        <w:jc w:val="both"/>
        <w:rPr>
          <w:rFonts w:ascii="Arial" w:eastAsia="Calibri" w:hAnsi="Arial" w:cs="Arial"/>
        </w:rPr>
      </w:pPr>
    </w:p>
    <w:p w14:paraId="2A92522F" w14:textId="77777777" w:rsidR="00AF555A" w:rsidRPr="007A0EF2" w:rsidRDefault="00AF555A" w:rsidP="00AF555A">
      <w:pPr>
        <w:numPr>
          <w:ilvl w:val="0"/>
          <w:numId w:val="3"/>
        </w:numPr>
        <w:spacing w:after="0" w:line="240" w:lineRule="auto"/>
        <w:contextualSpacing/>
        <w:jc w:val="both"/>
        <w:outlineLvl w:val="2"/>
        <w:rPr>
          <w:rFonts w:ascii="Arial" w:eastAsia="Times New Roman" w:hAnsi="Arial" w:cs="Arial"/>
          <w:bCs/>
          <w:iCs/>
        </w:rPr>
      </w:pPr>
      <w:r w:rsidRPr="007A0EF2">
        <w:rPr>
          <w:rFonts w:ascii="Arial" w:eastAsia="Times New Roman" w:hAnsi="Arial" w:cs="Arial"/>
          <w:bCs/>
          <w:iCs/>
        </w:rPr>
        <w:t xml:space="preserve">A health care professional (within the meaning of section 14N of the 2006 Act) or other professional person who has at any time been subject to an investigation or proceedings, by any body which regulates or licenses the profession concerned (“the regulatory body”), in connection with the person’s fitness to practise or any alleged fraud, the </w:t>
      </w:r>
      <w:proofErr w:type="gramStart"/>
      <w:r w:rsidRPr="007A0EF2">
        <w:rPr>
          <w:rFonts w:ascii="Arial" w:eastAsia="Times New Roman" w:hAnsi="Arial" w:cs="Arial"/>
          <w:bCs/>
          <w:iCs/>
        </w:rPr>
        <w:t>final outcome</w:t>
      </w:r>
      <w:proofErr w:type="gramEnd"/>
      <w:r w:rsidRPr="007A0EF2">
        <w:rPr>
          <w:rFonts w:ascii="Arial" w:eastAsia="Times New Roman" w:hAnsi="Arial" w:cs="Arial"/>
          <w:bCs/>
          <w:iCs/>
        </w:rPr>
        <w:t xml:space="preserve"> of which was—</w:t>
      </w:r>
    </w:p>
    <w:p w14:paraId="4A678DCB" w14:textId="77777777" w:rsidR="00AF555A" w:rsidRPr="007A0EF2" w:rsidRDefault="00AF555A" w:rsidP="00AF555A">
      <w:pPr>
        <w:numPr>
          <w:ilvl w:val="0"/>
          <w:numId w:val="6"/>
        </w:numPr>
        <w:spacing w:after="0" w:line="240" w:lineRule="auto"/>
        <w:contextualSpacing/>
        <w:jc w:val="both"/>
        <w:outlineLvl w:val="2"/>
        <w:rPr>
          <w:rFonts w:ascii="Arial" w:eastAsia="Times New Roman" w:hAnsi="Arial" w:cs="Arial"/>
          <w:bCs/>
          <w:iCs/>
        </w:rPr>
      </w:pPr>
      <w:r w:rsidRPr="007A0EF2">
        <w:rPr>
          <w:rFonts w:ascii="Arial" w:eastAsia="Times New Roman" w:hAnsi="Arial" w:cs="Arial"/>
          <w:bCs/>
          <w:iCs/>
        </w:rPr>
        <w:t>The person’s suspension from a register held by the regulatory body, where that suspension has not been terminated; and/or</w:t>
      </w:r>
    </w:p>
    <w:p w14:paraId="01B791D9" w14:textId="77777777" w:rsidR="00AF555A" w:rsidRPr="007A0EF2" w:rsidRDefault="00AF555A" w:rsidP="00AF555A">
      <w:pPr>
        <w:numPr>
          <w:ilvl w:val="0"/>
          <w:numId w:val="6"/>
        </w:numPr>
        <w:spacing w:after="0" w:line="240" w:lineRule="auto"/>
        <w:contextualSpacing/>
        <w:jc w:val="both"/>
        <w:outlineLvl w:val="2"/>
        <w:rPr>
          <w:rFonts w:ascii="Arial" w:eastAsia="Times New Roman" w:hAnsi="Arial" w:cs="Arial"/>
          <w:bCs/>
          <w:iCs/>
        </w:rPr>
      </w:pPr>
      <w:r w:rsidRPr="007A0EF2">
        <w:rPr>
          <w:rFonts w:ascii="Arial" w:eastAsia="Times New Roman" w:hAnsi="Arial" w:cs="Arial"/>
          <w:bCs/>
          <w:iCs/>
        </w:rPr>
        <w:t>The person’s erasure from such a register, where the person has not been restored to the register; and/or</w:t>
      </w:r>
    </w:p>
    <w:p w14:paraId="7A62D0ED" w14:textId="77777777" w:rsidR="00AF555A" w:rsidRPr="007A0EF2" w:rsidRDefault="00AF555A" w:rsidP="00AF555A">
      <w:pPr>
        <w:numPr>
          <w:ilvl w:val="0"/>
          <w:numId w:val="6"/>
        </w:numPr>
        <w:spacing w:after="0" w:line="240" w:lineRule="auto"/>
        <w:contextualSpacing/>
        <w:jc w:val="both"/>
        <w:outlineLvl w:val="2"/>
        <w:rPr>
          <w:rFonts w:ascii="Arial" w:eastAsia="Times New Roman" w:hAnsi="Arial" w:cs="Arial"/>
          <w:bCs/>
          <w:iCs/>
        </w:rPr>
      </w:pPr>
      <w:r w:rsidRPr="007A0EF2">
        <w:rPr>
          <w:rFonts w:ascii="Arial" w:eastAsia="Times New Roman" w:hAnsi="Arial" w:cs="Arial"/>
          <w:bCs/>
          <w:iCs/>
        </w:rPr>
        <w:t>A decision by the regulatory body which had the effect of preventing the person from practising the profession in question, where that decision has not been superseded; and/or</w:t>
      </w:r>
    </w:p>
    <w:p w14:paraId="3BF5FC8D" w14:textId="77777777" w:rsidR="00AF555A" w:rsidRPr="007A0EF2" w:rsidRDefault="00AF555A" w:rsidP="00AF555A">
      <w:pPr>
        <w:numPr>
          <w:ilvl w:val="0"/>
          <w:numId w:val="6"/>
        </w:numPr>
        <w:spacing w:after="0" w:line="240" w:lineRule="auto"/>
        <w:contextualSpacing/>
        <w:jc w:val="both"/>
        <w:outlineLvl w:val="2"/>
        <w:rPr>
          <w:rFonts w:ascii="Arial" w:eastAsia="Times New Roman" w:hAnsi="Arial" w:cs="Arial"/>
          <w:bCs/>
          <w:iCs/>
        </w:rPr>
      </w:pPr>
      <w:r w:rsidRPr="007A0EF2">
        <w:rPr>
          <w:rFonts w:ascii="Arial" w:eastAsia="Times New Roman" w:hAnsi="Arial" w:cs="Arial"/>
          <w:bCs/>
          <w:iCs/>
        </w:rPr>
        <w:t>A decision by the regulatory body which had the effect of imposing conditions on the person’s practice of the profession in question, where those conditions have not been lifted.</w:t>
      </w:r>
    </w:p>
    <w:p w14:paraId="66E67FB7" w14:textId="77777777" w:rsidR="00AF555A" w:rsidRPr="007A0EF2" w:rsidRDefault="00AF555A" w:rsidP="00AF555A">
      <w:pPr>
        <w:spacing w:after="0" w:line="240" w:lineRule="auto"/>
        <w:ind w:left="1440"/>
        <w:contextualSpacing/>
        <w:jc w:val="both"/>
        <w:outlineLvl w:val="2"/>
        <w:rPr>
          <w:rFonts w:ascii="Arial" w:eastAsia="Times New Roman" w:hAnsi="Arial" w:cs="Arial"/>
          <w:bCs/>
          <w:iCs/>
        </w:rPr>
      </w:pPr>
    </w:p>
    <w:p w14:paraId="33BE8F29" w14:textId="77777777" w:rsidR="00AF555A" w:rsidRPr="007A0EF2" w:rsidRDefault="00AF555A" w:rsidP="00AF555A">
      <w:pPr>
        <w:numPr>
          <w:ilvl w:val="0"/>
          <w:numId w:val="3"/>
        </w:numPr>
        <w:spacing w:after="0" w:line="240" w:lineRule="auto"/>
        <w:contextualSpacing/>
        <w:jc w:val="both"/>
        <w:outlineLvl w:val="2"/>
        <w:rPr>
          <w:rFonts w:ascii="Arial" w:eastAsia="Times New Roman" w:hAnsi="Arial" w:cs="Arial"/>
          <w:bCs/>
          <w:iCs/>
        </w:rPr>
      </w:pPr>
      <w:r w:rsidRPr="007A0EF2">
        <w:rPr>
          <w:rFonts w:ascii="Arial" w:eastAsia="Times New Roman" w:hAnsi="Arial" w:cs="Arial"/>
          <w:bCs/>
          <w:iCs/>
        </w:rPr>
        <w:t>A person who is subject to—</w:t>
      </w:r>
    </w:p>
    <w:p w14:paraId="3086DF27" w14:textId="77777777" w:rsidR="00AF555A" w:rsidRPr="007A0EF2" w:rsidRDefault="00AF555A" w:rsidP="00AF555A">
      <w:pPr>
        <w:numPr>
          <w:ilvl w:val="0"/>
          <w:numId w:val="7"/>
        </w:numPr>
        <w:spacing w:after="0" w:line="240" w:lineRule="auto"/>
        <w:contextualSpacing/>
        <w:jc w:val="both"/>
        <w:outlineLvl w:val="2"/>
        <w:rPr>
          <w:rFonts w:ascii="Arial" w:eastAsia="Times New Roman" w:hAnsi="Arial" w:cs="Arial"/>
          <w:bCs/>
          <w:iCs/>
        </w:rPr>
      </w:pPr>
      <w:r w:rsidRPr="007A0EF2">
        <w:rPr>
          <w:rFonts w:ascii="Arial" w:eastAsia="Times New Roman" w:hAnsi="Arial" w:cs="Arial"/>
          <w:bCs/>
          <w:iCs/>
        </w:rPr>
        <w:t>A disqualification order or disqualification undertaking under the Company Directors Disqualification Act 1986 or the Company Directors Disqualification (Northern Ireland) Order 2002; and/or</w:t>
      </w:r>
    </w:p>
    <w:p w14:paraId="412BAB0B" w14:textId="77777777" w:rsidR="00AF555A" w:rsidRPr="007A0EF2" w:rsidRDefault="00AF555A" w:rsidP="00AF555A">
      <w:pPr>
        <w:numPr>
          <w:ilvl w:val="0"/>
          <w:numId w:val="7"/>
        </w:numPr>
        <w:spacing w:after="0" w:line="240" w:lineRule="auto"/>
        <w:contextualSpacing/>
        <w:jc w:val="both"/>
        <w:outlineLvl w:val="2"/>
        <w:rPr>
          <w:rFonts w:ascii="Arial" w:eastAsia="Times New Roman" w:hAnsi="Arial" w:cs="Arial"/>
          <w:bCs/>
          <w:iCs/>
        </w:rPr>
      </w:pPr>
      <w:r w:rsidRPr="007A0EF2">
        <w:rPr>
          <w:rFonts w:ascii="Arial" w:eastAsia="Times New Roman" w:hAnsi="Arial" w:cs="Arial"/>
          <w:bCs/>
          <w:iCs/>
        </w:rPr>
        <w:t>An order made under section 429(2) of the Insolvency Act 1986 (disabilities on revocation of administration order against an individual</w:t>
      </w:r>
      <w:proofErr w:type="gramStart"/>
      <w:r w:rsidRPr="007A0EF2">
        <w:rPr>
          <w:rFonts w:ascii="Arial" w:eastAsia="Times New Roman" w:hAnsi="Arial" w:cs="Arial"/>
          <w:bCs/>
          <w:iCs/>
        </w:rPr>
        <w:t>);</w:t>
      </w:r>
      <w:proofErr w:type="gramEnd"/>
    </w:p>
    <w:p w14:paraId="434D9099" w14:textId="77777777" w:rsidR="00AF555A" w:rsidRPr="007A0EF2" w:rsidRDefault="00AF555A" w:rsidP="00AF555A">
      <w:pPr>
        <w:spacing w:after="0" w:line="240" w:lineRule="auto"/>
        <w:ind w:left="1430"/>
        <w:contextualSpacing/>
        <w:jc w:val="both"/>
        <w:outlineLvl w:val="2"/>
        <w:rPr>
          <w:rFonts w:ascii="Arial" w:eastAsia="Times New Roman" w:hAnsi="Arial" w:cs="Arial"/>
          <w:bCs/>
          <w:iCs/>
        </w:rPr>
      </w:pPr>
    </w:p>
    <w:p w14:paraId="11B121FD" w14:textId="77777777" w:rsidR="00AF555A" w:rsidRPr="007A0EF2" w:rsidRDefault="00AF555A" w:rsidP="00AF555A">
      <w:pPr>
        <w:numPr>
          <w:ilvl w:val="0"/>
          <w:numId w:val="3"/>
        </w:numPr>
        <w:spacing w:after="0" w:line="240" w:lineRule="auto"/>
        <w:contextualSpacing/>
        <w:jc w:val="both"/>
        <w:outlineLvl w:val="2"/>
        <w:rPr>
          <w:rFonts w:ascii="Arial" w:eastAsia="Times New Roman" w:hAnsi="Arial" w:cs="Arial"/>
          <w:bCs/>
          <w:iCs/>
        </w:rPr>
      </w:pPr>
      <w:r w:rsidRPr="007A0EF2">
        <w:rPr>
          <w:rFonts w:ascii="Arial" w:eastAsia="Times New Roman" w:hAnsi="Arial" w:cs="Arial"/>
          <w:bCs/>
          <w:iCs/>
        </w:rPr>
        <w:lastRenderedPageBreak/>
        <w:t>A person who has at any time been removed from the office of charity trustee or trustee for a charity by an order made by the Charity Commissioners for England and Wales, the Charity Commission, the Charity Commission for Northern Ireland or the High Court, on the grounds of misconduct or mismanagement in the administration of the charity for which the person was responsible, to which the person was privy, or which the person by their conduct contributed to or facilitated;</w:t>
      </w:r>
    </w:p>
    <w:p w14:paraId="5371A9AC" w14:textId="77777777" w:rsidR="00AF555A" w:rsidRPr="007A0EF2" w:rsidRDefault="00AF555A" w:rsidP="00AF555A">
      <w:pPr>
        <w:spacing w:after="0" w:line="240" w:lineRule="auto"/>
        <w:ind w:left="720"/>
        <w:contextualSpacing/>
        <w:jc w:val="both"/>
        <w:outlineLvl w:val="2"/>
        <w:rPr>
          <w:rFonts w:ascii="Arial" w:eastAsia="Times New Roman" w:hAnsi="Arial" w:cs="Arial"/>
          <w:bCs/>
          <w:iCs/>
        </w:rPr>
      </w:pPr>
    </w:p>
    <w:p w14:paraId="4A86FF41" w14:textId="77777777" w:rsidR="00AF555A" w:rsidRPr="007A0EF2" w:rsidRDefault="00AF555A" w:rsidP="00AF555A">
      <w:pPr>
        <w:numPr>
          <w:ilvl w:val="0"/>
          <w:numId w:val="3"/>
        </w:numPr>
        <w:spacing w:after="0" w:line="240" w:lineRule="auto"/>
        <w:contextualSpacing/>
        <w:jc w:val="both"/>
        <w:outlineLvl w:val="2"/>
        <w:rPr>
          <w:rFonts w:ascii="Arial" w:eastAsia="Times New Roman" w:hAnsi="Arial" w:cs="Arial"/>
          <w:bCs/>
          <w:iCs/>
        </w:rPr>
      </w:pPr>
      <w:r w:rsidRPr="007A0EF2">
        <w:rPr>
          <w:rFonts w:ascii="Arial" w:eastAsia="Times New Roman" w:hAnsi="Arial" w:cs="Arial"/>
          <w:bCs/>
          <w:iCs/>
        </w:rPr>
        <w:t xml:space="preserve">A person who has at any time been removed, or is suspended, from the management or control of </w:t>
      </w:r>
      <w:proofErr w:type="spellStart"/>
      <w:r w:rsidRPr="007A0EF2">
        <w:rPr>
          <w:rFonts w:ascii="Arial" w:eastAsia="Times New Roman" w:hAnsi="Arial" w:cs="Arial"/>
          <w:bCs/>
          <w:iCs/>
        </w:rPr>
        <w:t>any body</w:t>
      </w:r>
      <w:proofErr w:type="spellEnd"/>
      <w:r w:rsidRPr="007A0EF2">
        <w:rPr>
          <w:rFonts w:ascii="Arial" w:eastAsia="Times New Roman" w:hAnsi="Arial" w:cs="Arial"/>
          <w:bCs/>
          <w:iCs/>
        </w:rPr>
        <w:t xml:space="preserve"> under—</w:t>
      </w:r>
    </w:p>
    <w:p w14:paraId="37FB3D4D" w14:textId="77777777" w:rsidR="00AF555A" w:rsidRPr="007A0EF2" w:rsidRDefault="00AF555A" w:rsidP="00AF555A">
      <w:pPr>
        <w:numPr>
          <w:ilvl w:val="0"/>
          <w:numId w:val="8"/>
        </w:numPr>
        <w:spacing w:after="0" w:line="240" w:lineRule="auto"/>
        <w:contextualSpacing/>
        <w:jc w:val="both"/>
        <w:outlineLvl w:val="2"/>
        <w:rPr>
          <w:rFonts w:ascii="Arial" w:eastAsia="Times New Roman" w:hAnsi="Arial" w:cs="Arial"/>
          <w:bCs/>
          <w:iCs/>
        </w:rPr>
      </w:pPr>
      <w:r w:rsidRPr="007A0EF2">
        <w:rPr>
          <w:rFonts w:ascii="Arial" w:eastAsia="Times New Roman" w:hAnsi="Arial" w:cs="Arial"/>
          <w:bCs/>
          <w:iCs/>
        </w:rPr>
        <w:t>Section 7 of the Law Reform (Miscellaneous Provisions) (Scotland) Act 1990(f) (powers of the Court of Session to deal with the management of charities); and/or</w:t>
      </w:r>
    </w:p>
    <w:p w14:paraId="41FB0DFF" w14:textId="0CFBBD9C" w:rsidR="005A59C4" w:rsidRPr="007A0EF2" w:rsidRDefault="00AF555A" w:rsidP="00AF555A">
      <w:pPr>
        <w:rPr>
          <w:rFonts w:ascii="Arial" w:eastAsia="Calibri" w:hAnsi="Arial" w:cs="Arial"/>
        </w:rPr>
      </w:pPr>
      <w:r w:rsidRPr="007A0EF2">
        <w:rPr>
          <w:rFonts w:ascii="Arial" w:eastAsia="Calibri" w:hAnsi="Arial" w:cs="Arial"/>
        </w:rPr>
        <w:t>Section 34(5) or of the Charities and Trustee Investment (Scotland) Act 2005 (powers of the Court of Session to deal with the management of charities)</w:t>
      </w:r>
    </w:p>
    <w:p w14:paraId="30A5C22B" w14:textId="77777777" w:rsidR="00AF555A" w:rsidRPr="007A0EF2" w:rsidRDefault="00AF555A" w:rsidP="007A0EF2">
      <w:pPr>
        <w:spacing w:after="0" w:line="240" w:lineRule="auto"/>
        <w:rPr>
          <w:rFonts w:ascii="Arial" w:hAnsi="Arial" w:cs="Arial"/>
        </w:rPr>
      </w:pPr>
    </w:p>
    <w:p w14:paraId="688BD878" w14:textId="7D33BB10" w:rsidR="005A59C4" w:rsidRPr="007A0EF2" w:rsidRDefault="00AF555A">
      <w:pPr>
        <w:rPr>
          <w:rFonts w:ascii="Arial" w:hAnsi="Arial" w:cs="Arial"/>
          <w:b/>
        </w:rPr>
      </w:pPr>
      <w:r w:rsidRPr="007A0EF2">
        <w:rPr>
          <w:rFonts w:ascii="Arial" w:hAnsi="Arial" w:cs="Arial"/>
          <w:b/>
        </w:rPr>
        <w:t>The Fit and Proper Persons Test</w:t>
      </w:r>
    </w:p>
    <w:p w14:paraId="449C57F0" w14:textId="6216C3CF" w:rsidR="00AF555A" w:rsidRPr="007A0EF2" w:rsidRDefault="00E93463">
      <w:pPr>
        <w:rPr>
          <w:rFonts w:ascii="Arial" w:hAnsi="Arial" w:cs="Arial"/>
        </w:rPr>
      </w:pPr>
      <w:hyperlink r:id="rId11" w:history="1">
        <w:r w:rsidR="00AF555A" w:rsidRPr="007A0EF2">
          <w:rPr>
            <w:rStyle w:val="Hyperlink"/>
            <w:rFonts w:ascii="Arial" w:hAnsi="Arial" w:cs="Arial"/>
          </w:rPr>
          <w:t>fit-and-proper-person-test-guidance-nhs-providers.pdf (nhsproviders.org)</w:t>
        </w:r>
      </w:hyperlink>
    </w:p>
    <w:p w14:paraId="0A966273" w14:textId="513C46A1" w:rsidR="00AF555A" w:rsidRPr="007A0EF2" w:rsidRDefault="00AF555A" w:rsidP="007A0EF2">
      <w:pPr>
        <w:spacing w:after="0" w:line="240" w:lineRule="auto"/>
        <w:rPr>
          <w:rFonts w:ascii="Arial" w:hAnsi="Arial" w:cs="Arial"/>
        </w:rPr>
      </w:pPr>
    </w:p>
    <w:p w14:paraId="4AEFEFE1" w14:textId="2E208A9F" w:rsidR="00AF555A" w:rsidRPr="007A0EF2" w:rsidRDefault="00AF555A" w:rsidP="00AF555A">
      <w:pPr>
        <w:rPr>
          <w:rFonts w:ascii="Arial" w:eastAsia="Calibri" w:hAnsi="Arial" w:cs="Arial"/>
          <w:b/>
          <w:bCs/>
          <w:lang w:eastAsia="en-GB"/>
        </w:rPr>
      </w:pPr>
      <w:r w:rsidRPr="007A0EF2">
        <w:rPr>
          <w:rFonts w:ascii="Arial" w:eastAsia="Calibri" w:hAnsi="Arial" w:cs="Arial"/>
          <w:b/>
          <w:bCs/>
          <w:lang w:eastAsia="en-GB"/>
        </w:rPr>
        <w:t>The Seven Principles of Public Life</w:t>
      </w:r>
    </w:p>
    <w:p w14:paraId="71D274D6" w14:textId="77777777" w:rsidR="00AF555A" w:rsidRPr="007A0EF2" w:rsidRDefault="00AF555A" w:rsidP="00AF555A">
      <w:pPr>
        <w:rPr>
          <w:rFonts w:ascii="Arial" w:eastAsia="Calibri" w:hAnsi="Arial" w:cs="Arial"/>
          <w:lang w:eastAsia="en-GB"/>
        </w:rPr>
      </w:pPr>
      <w:r w:rsidRPr="007A0EF2">
        <w:rPr>
          <w:rFonts w:ascii="Arial" w:eastAsia="Calibri" w:hAnsi="Arial" w:cs="Arial"/>
          <w:lang w:eastAsia="en-GB"/>
        </w:rPr>
        <w:t xml:space="preserve">The Seven Principles of Public Life (also known as the Nolan Principles) apply to anyone who works as a public </w:t>
      </w:r>
      <w:proofErr w:type="gramStart"/>
      <w:r w:rsidRPr="007A0EF2">
        <w:rPr>
          <w:rFonts w:ascii="Arial" w:eastAsia="Calibri" w:hAnsi="Arial" w:cs="Arial"/>
          <w:lang w:eastAsia="en-GB"/>
        </w:rPr>
        <w:t>office-holder</w:t>
      </w:r>
      <w:proofErr w:type="gramEnd"/>
      <w:r w:rsidRPr="007A0EF2">
        <w:rPr>
          <w:rFonts w:ascii="Arial" w:eastAsia="Calibri" w:hAnsi="Arial" w:cs="Arial"/>
          <w:lang w:eastAsia="en-GB"/>
        </w:rPr>
        <w:t xml:space="preserve">. This includes all those who are elected or appointed to public office, nationally and locally, and all people appointed to work in the Civil Service, local government, the police, courts and probation services, non-departmental public bodies (NDPBs), and in the health, education, social and care services. All public </w:t>
      </w:r>
      <w:proofErr w:type="gramStart"/>
      <w:r w:rsidRPr="007A0EF2">
        <w:rPr>
          <w:rFonts w:ascii="Arial" w:eastAsia="Calibri" w:hAnsi="Arial" w:cs="Arial"/>
          <w:lang w:eastAsia="en-GB"/>
        </w:rPr>
        <w:t>office-holders</w:t>
      </w:r>
      <w:proofErr w:type="gramEnd"/>
      <w:r w:rsidRPr="007A0EF2">
        <w:rPr>
          <w:rFonts w:ascii="Arial" w:eastAsia="Calibri" w:hAnsi="Arial" w:cs="Arial"/>
          <w:lang w:eastAsia="en-GB"/>
        </w:rPr>
        <w:t xml:space="preserve"> are both servants of the public and stewards of public resources. The principles also apply to all those in other sectors delivering public services.</w:t>
      </w:r>
    </w:p>
    <w:p w14:paraId="31D91760" w14:textId="77777777" w:rsidR="00AF555A" w:rsidRPr="007A0EF2" w:rsidRDefault="00AF555A" w:rsidP="00AF555A">
      <w:pPr>
        <w:spacing w:after="60" w:line="240" w:lineRule="auto"/>
        <w:rPr>
          <w:rFonts w:ascii="Arial" w:eastAsia="Calibri" w:hAnsi="Arial" w:cs="Arial"/>
          <w:bCs/>
          <w:lang w:eastAsia="en-GB"/>
        </w:rPr>
      </w:pPr>
      <w:r w:rsidRPr="007A0EF2">
        <w:rPr>
          <w:rFonts w:ascii="Arial" w:eastAsia="Calibri" w:hAnsi="Arial" w:cs="Arial"/>
          <w:bCs/>
          <w:lang w:eastAsia="en-GB"/>
        </w:rPr>
        <w:t>1. Selflessness</w:t>
      </w:r>
    </w:p>
    <w:p w14:paraId="70628B6C" w14:textId="77777777" w:rsidR="00AF555A" w:rsidRPr="007A0EF2" w:rsidRDefault="00AF555A" w:rsidP="00AF555A">
      <w:pPr>
        <w:spacing w:after="0" w:line="240" w:lineRule="auto"/>
        <w:rPr>
          <w:rFonts w:ascii="Arial" w:eastAsia="Calibri" w:hAnsi="Arial" w:cs="Arial"/>
          <w:bCs/>
          <w:lang w:eastAsia="en-GB"/>
        </w:rPr>
      </w:pPr>
      <w:r w:rsidRPr="007A0EF2">
        <w:rPr>
          <w:rFonts w:ascii="Arial" w:eastAsia="Calibri" w:hAnsi="Arial" w:cs="Arial"/>
          <w:bCs/>
          <w:lang w:eastAsia="en-GB"/>
        </w:rPr>
        <w:t>Holders of public office should act solely in terms of the public interest.</w:t>
      </w:r>
    </w:p>
    <w:p w14:paraId="0F8BAE5D" w14:textId="77777777" w:rsidR="00AF555A" w:rsidRPr="007A0EF2" w:rsidRDefault="00AF555A" w:rsidP="00AF555A">
      <w:pPr>
        <w:spacing w:after="0" w:line="240" w:lineRule="auto"/>
        <w:rPr>
          <w:rFonts w:ascii="Arial" w:eastAsia="Calibri" w:hAnsi="Arial" w:cs="Arial"/>
          <w:b/>
          <w:lang w:eastAsia="en-GB"/>
        </w:rPr>
      </w:pPr>
    </w:p>
    <w:p w14:paraId="7CACF0A3" w14:textId="77777777" w:rsidR="00AF555A" w:rsidRPr="007A0EF2" w:rsidRDefault="00AF555A" w:rsidP="00AF555A">
      <w:pPr>
        <w:spacing w:after="60" w:line="240" w:lineRule="auto"/>
        <w:rPr>
          <w:rFonts w:ascii="Arial" w:eastAsia="Calibri" w:hAnsi="Arial" w:cs="Arial"/>
          <w:bCs/>
          <w:lang w:eastAsia="en-GB"/>
        </w:rPr>
      </w:pPr>
      <w:r w:rsidRPr="007A0EF2">
        <w:rPr>
          <w:rFonts w:ascii="Arial" w:eastAsia="Calibri" w:hAnsi="Arial" w:cs="Arial"/>
          <w:bCs/>
          <w:lang w:eastAsia="en-GB"/>
        </w:rPr>
        <w:t>2. Integrity</w:t>
      </w:r>
    </w:p>
    <w:p w14:paraId="119888AA" w14:textId="77777777" w:rsidR="00AF555A" w:rsidRPr="007A0EF2" w:rsidRDefault="00AF555A" w:rsidP="00AF555A">
      <w:pPr>
        <w:spacing w:after="0" w:line="240" w:lineRule="auto"/>
        <w:rPr>
          <w:rFonts w:ascii="Arial" w:eastAsia="Calibri" w:hAnsi="Arial" w:cs="Arial"/>
          <w:bCs/>
          <w:lang w:eastAsia="en-GB"/>
        </w:rPr>
      </w:pPr>
      <w:r w:rsidRPr="007A0EF2">
        <w:rPr>
          <w:rFonts w:ascii="Arial" w:eastAsia="Calibri" w:hAnsi="Arial" w:cs="Arial"/>
          <w:bCs/>
          <w:lang w:eastAsia="en-GB"/>
        </w:rPr>
        <w:t xml:space="preserve">Holders of public office must avoid placing themselves under any obligation to people or organisations that might try inappropriately to influence them in their work. They should not act or take decisions </w:t>
      </w:r>
      <w:proofErr w:type="gramStart"/>
      <w:r w:rsidRPr="007A0EF2">
        <w:rPr>
          <w:rFonts w:ascii="Arial" w:eastAsia="Calibri" w:hAnsi="Arial" w:cs="Arial"/>
          <w:bCs/>
          <w:lang w:eastAsia="en-GB"/>
        </w:rPr>
        <w:t>in order to</w:t>
      </w:r>
      <w:proofErr w:type="gramEnd"/>
      <w:r w:rsidRPr="007A0EF2">
        <w:rPr>
          <w:rFonts w:ascii="Arial" w:eastAsia="Calibri" w:hAnsi="Arial" w:cs="Arial"/>
          <w:bCs/>
          <w:lang w:eastAsia="en-GB"/>
        </w:rPr>
        <w:t xml:space="preserve"> gain financial or other material benefits for themselves, their family, or their friends. They must declare and resolve any interests and relationships.</w:t>
      </w:r>
    </w:p>
    <w:p w14:paraId="23BFA785" w14:textId="77777777" w:rsidR="00AF555A" w:rsidRPr="007A0EF2" w:rsidRDefault="00AF555A" w:rsidP="00AF555A">
      <w:pPr>
        <w:spacing w:after="0" w:line="240" w:lineRule="auto"/>
        <w:rPr>
          <w:rFonts w:ascii="Arial" w:eastAsia="Calibri" w:hAnsi="Arial" w:cs="Arial"/>
          <w:b/>
          <w:lang w:eastAsia="en-GB"/>
        </w:rPr>
      </w:pPr>
    </w:p>
    <w:p w14:paraId="0A8A50EB" w14:textId="77777777" w:rsidR="00AF555A" w:rsidRPr="007A0EF2" w:rsidRDefault="00AF555A" w:rsidP="00AF555A">
      <w:pPr>
        <w:spacing w:after="60" w:line="240" w:lineRule="auto"/>
        <w:rPr>
          <w:rFonts w:ascii="Arial" w:eastAsia="Times New Roman" w:hAnsi="Arial" w:cs="Arial"/>
          <w:bCs/>
          <w:color w:val="0B0C0C"/>
          <w:lang w:eastAsia="en-GB"/>
        </w:rPr>
      </w:pPr>
      <w:r w:rsidRPr="007A0EF2">
        <w:rPr>
          <w:rFonts w:ascii="Arial" w:eastAsia="Times New Roman" w:hAnsi="Arial" w:cs="Arial"/>
          <w:bCs/>
          <w:color w:val="0B0C0C"/>
          <w:lang w:eastAsia="en-GB"/>
        </w:rPr>
        <w:t>3. Objectivity</w:t>
      </w:r>
    </w:p>
    <w:p w14:paraId="774EF24D" w14:textId="77777777" w:rsidR="00AF555A" w:rsidRPr="007A0EF2" w:rsidRDefault="00AF555A" w:rsidP="00AF555A">
      <w:pPr>
        <w:spacing w:after="0" w:line="240" w:lineRule="auto"/>
        <w:rPr>
          <w:rFonts w:ascii="Arial" w:eastAsia="Times New Roman" w:hAnsi="Arial" w:cs="Arial"/>
          <w:bCs/>
          <w:color w:val="0B0C0C"/>
          <w:lang w:eastAsia="en-GB"/>
        </w:rPr>
      </w:pPr>
      <w:r w:rsidRPr="007A0EF2">
        <w:rPr>
          <w:rFonts w:ascii="Arial" w:eastAsia="Times New Roman" w:hAnsi="Arial" w:cs="Arial"/>
          <w:bCs/>
          <w:color w:val="0B0C0C"/>
          <w:lang w:eastAsia="en-GB"/>
        </w:rPr>
        <w:t>Holders of public office must act and take decisions impartially, fairly and on merit, using the best evidence and without discrimination or bias.</w:t>
      </w:r>
    </w:p>
    <w:p w14:paraId="2AB27740" w14:textId="77777777" w:rsidR="00AF555A" w:rsidRPr="007A0EF2" w:rsidRDefault="00AF555A" w:rsidP="00AF555A">
      <w:pPr>
        <w:spacing w:after="0" w:line="240" w:lineRule="auto"/>
        <w:rPr>
          <w:rFonts w:ascii="Arial" w:eastAsia="Times New Roman" w:hAnsi="Arial" w:cs="Arial"/>
          <w:b/>
          <w:color w:val="0B0C0C"/>
          <w:lang w:eastAsia="en-GB"/>
        </w:rPr>
      </w:pPr>
    </w:p>
    <w:p w14:paraId="1B958EB8" w14:textId="77777777" w:rsidR="00AF555A" w:rsidRPr="007A0EF2" w:rsidRDefault="00AF555A" w:rsidP="00AF555A">
      <w:pPr>
        <w:spacing w:after="60" w:line="240" w:lineRule="auto"/>
        <w:rPr>
          <w:rFonts w:ascii="Arial" w:eastAsia="Calibri" w:hAnsi="Arial" w:cs="Arial"/>
          <w:bCs/>
          <w:lang w:eastAsia="en-GB"/>
        </w:rPr>
      </w:pPr>
      <w:r w:rsidRPr="007A0EF2">
        <w:rPr>
          <w:rFonts w:ascii="Arial" w:eastAsia="Calibri" w:hAnsi="Arial" w:cs="Arial"/>
          <w:bCs/>
          <w:lang w:eastAsia="en-GB"/>
        </w:rPr>
        <w:t>4. Accountability</w:t>
      </w:r>
    </w:p>
    <w:p w14:paraId="5390F2B9" w14:textId="77777777" w:rsidR="00AF555A" w:rsidRPr="007A0EF2" w:rsidRDefault="00AF555A" w:rsidP="00AF555A">
      <w:pPr>
        <w:spacing w:after="0" w:line="240" w:lineRule="auto"/>
        <w:rPr>
          <w:rFonts w:ascii="Arial" w:eastAsia="Calibri" w:hAnsi="Arial" w:cs="Arial"/>
          <w:bCs/>
          <w:lang w:eastAsia="en-GB"/>
        </w:rPr>
      </w:pPr>
      <w:r w:rsidRPr="007A0EF2">
        <w:rPr>
          <w:rFonts w:ascii="Arial" w:eastAsia="Calibri" w:hAnsi="Arial" w:cs="Arial"/>
          <w:bCs/>
          <w:lang w:eastAsia="en-GB"/>
        </w:rPr>
        <w:t>Holders of public office are accountable to the public for their decisions and actions and must submit themselves to the scrutiny necessary to ensure this.</w:t>
      </w:r>
    </w:p>
    <w:p w14:paraId="7ABC80CA" w14:textId="77777777" w:rsidR="00AF555A" w:rsidRPr="007A0EF2" w:rsidRDefault="00AF555A" w:rsidP="00AF555A">
      <w:pPr>
        <w:spacing w:after="0" w:line="240" w:lineRule="auto"/>
        <w:rPr>
          <w:rFonts w:ascii="Arial" w:eastAsia="Calibri" w:hAnsi="Arial" w:cs="Arial"/>
          <w:b/>
          <w:lang w:eastAsia="en-GB"/>
        </w:rPr>
      </w:pPr>
    </w:p>
    <w:p w14:paraId="2CA5C091" w14:textId="77777777" w:rsidR="00AF555A" w:rsidRPr="007A0EF2" w:rsidRDefault="00AF555A" w:rsidP="00AF555A">
      <w:pPr>
        <w:spacing w:after="60" w:line="240" w:lineRule="auto"/>
        <w:rPr>
          <w:rFonts w:ascii="Arial" w:eastAsia="Calibri" w:hAnsi="Arial" w:cs="Arial"/>
          <w:bCs/>
          <w:lang w:eastAsia="en-GB"/>
        </w:rPr>
      </w:pPr>
      <w:r w:rsidRPr="007A0EF2">
        <w:rPr>
          <w:rFonts w:ascii="Arial" w:eastAsia="Calibri" w:hAnsi="Arial" w:cs="Arial"/>
          <w:bCs/>
          <w:lang w:eastAsia="en-GB"/>
        </w:rPr>
        <w:t>5.  Openness</w:t>
      </w:r>
    </w:p>
    <w:p w14:paraId="6DD945D4" w14:textId="77777777" w:rsidR="00AF555A" w:rsidRPr="007A0EF2" w:rsidRDefault="00AF555A" w:rsidP="00AF555A">
      <w:pPr>
        <w:spacing w:after="0" w:line="240" w:lineRule="auto"/>
        <w:rPr>
          <w:rFonts w:ascii="Arial" w:eastAsia="Calibri" w:hAnsi="Arial" w:cs="Arial"/>
          <w:bCs/>
          <w:lang w:eastAsia="en-GB"/>
        </w:rPr>
      </w:pPr>
      <w:r w:rsidRPr="007A0EF2">
        <w:rPr>
          <w:rFonts w:ascii="Arial" w:eastAsia="Calibri" w:hAnsi="Arial" w:cs="Arial"/>
          <w:bCs/>
          <w:lang w:eastAsia="en-GB"/>
        </w:rPr>
        <w:t>Holders of public office should act and take decisions in an open and transparent manner. Information should not be withheld from the public unless there are clear and lawful reasons for so doing.</w:t>
      </w:r>
    </w:p>
    <w:p w14:paraId="4358B6F9" w14:textId="77777777" w:rsidR="00AF555A" w:rsidRPr="007A0EF2" w:rsidRDefault="00AF555A" w:rsidP="00AF555A">
      <w:pPr>
        <w:spacing w:after="0" w:line="240" w:lineRule="auto"/>
        <w:rPr>
          <w:rFonts w:ascii="Arial" w:eastAsia="Calibri" w:hAnsi="Arial" w:cs="Arial"/>
          <w:b/>
          <w:lang w:eastAsia="en-GB"/>
        </w:rPr>
      </w:pPr>
    </w:p>
    <w:p w14:paraId="3D704A18" w14:textId="77777777" w:rsidR="00AF555A" w:rsidRPr="007A0EF2" w:rsidRDefault="00AF555A" w:rsidP="00AF555A">
      <w:pPr>
        <w:spacing w:after="60" w:line="240" w:lineRule="auto"/>
        <w:rPr>
          <w:rFonts w:ascii="Arial" w:eastAsia="Calibri" w:hAnsi="Arial" w:cs="Arial"/>
          <w:b/>
          <w:bCs/>
          <w:lang w:eastAsia="en-GB"/>
        </w:rPr>
      </w:pPr>
      <w:r w:rsidRPr="007A0EF2">
        <w:rPr>
          <w:rFonts w:ascii="Arial" w:eastAsia="Calibri" w:hAnsi="Arial" w:cs="Arial"/>
          <w:bCs/>
          <w:lang w:eastAsia="en-GB"/>
        </w:rPr>
        <w:t>6. Honesty</w:t>
      </w:r>
    </w:p>
    <w:p w14:paraId="17D75A2E" w14:textId="77777777" w:rsidR="00AF555A" w:rsidRPr="007A0EF2" w:rsidRDefault="00AF555A" w:rsidP="00AF555A">
      <w:pPr>
        <w:spacing w:after="0" w:line="240" w:lineRule="auto"/>
        <w:rPr>
          <w:rFonts w:ascii="Arial" w:eastAsia="Calibri" w:hAnsi="Arial" w:cs="Arial"/>
          <w:bCs/>
          <w:lang w:eastAsia="en-GB"/>
        </w:rPr>
      </w:pPr>
      <w:r w:rsidRPr="007A0EF2">
        <w:rPr>
          <w:rFonts w:ascii="Arial" w:eastAsia="Calibri" w:hAnsi="Arial" w:cs="Arial"/>
          <w:bCs/>
          <w:lang w:eastAsia="en-GB"/>
        </w:rPr>
        <w:lastRenderedPageBreak/>
        <w:t>Holders of public office should be truthful.</w:t>
      </w:r>
    </w:p>
    <w:p w14:paraId="3BAB59EC" w14:textId="77777777" w:rsidR="00AF555A" w:rsidRPr="007A0EF2" w:rsidRDefault="00AF555A" w:rsidP="00AF555A">
      <w:pPr>
        <w:spacing w:after="0" w:line="240" w:lineRule="auto"/>
        <w:rPr>
          <w:rFonts w:ascii="Arial" w:eastAsia="Calibri" w:hAnsi="Arial" w:cs="Arial"/>
          <w:bCs/>
          <w:lang w:eastAsia="en-GB"/>
        </w:rPr>
      </w:pPr>
    </w:p>
    <w:p w14:paraId="37A589F4" w14:textId="77777777" w:rsidR="00AF555A" w:rsidRPr="007A0EF2" w:rsidRDefault="00AF555A" w:rsidP="00AF555A">
      <w:pPr>
        <w:spacing w:after="60" w:line="240" w:lineRule="auto"/>
        <w:rPr>
          <w:rFonts w:ascii="Arial" w:eastAsia="Calibri" w:hAnsi="Arial" w:cs="Arial"/>
          <w:bCs/>
          <w:lang w:eastAsia="en-GB"/>
        </w:rPr>
      </w:pPr>
      <w:r w:rsidRPr="007A0EF2">
        <w:rPr>
          <w:rFonts w:ascii="Arial" w:eastAsia="Calibri" w:hAnsi="Arial" w:cs="Arial"/>
          <w:bCs/>
          <w:lang w:eastAsia="en-GB"/>
        </w:rPr>
        <w:t>7. Leadership</w:t>
      </w:r>
    </w:p>
    <w:p w14:paraId="64AA1999" w14:textId="77777777" w:rsidR="00AF555A" w:rsidRPr="007A0EF2" w:rsidRDefault="00AF555A" w:rsidP="00AF555A">
      <w:pPr>
        <w:spacing w:after="0" w:line="240" w:lineRule="auto"/>
        <w:rPr>
          <w:rFonts w:ascii="Arial" w:eastAsia="Calibri" w:hAnsi="Arial" w:cs="Arial"/>
          <w:bCs/>
          <w:lang w:eastAsia="en-GB"/>
        </w:rPr>
      </w:pPr>
      <w:r w:rsidRPr="007A0EF2">
        <w:rPr>
          <w:rFonts w:ascii="Arial" w:eastAsia="Calibri" w:hAnsi="Arial" w:cs="Arial"/>
          <w:bCs/>
          <w:lang w:eastAsia="en-GB"/>
        </w:rPr>
        <w:t>Holders of public office should exhibit these principles in their own behaviour and treat others with respect. They should actively promote and robustly support the principles and challenge poor behaviour wherever it occurs.</w:t>
      </w:r>
    </w:p>
    <w:p w14:paraId="6CA4F91E" w14:textId="77777777" w:rsidR="00AF555A" w:rsidRPr="007A0EF2" w:rsidRDefault="00AF555A" w:rsidP="00AF555A">
      <w:pPr>
        <w:rPr>
          <w:rFonts w:ascii="Arial" w:eastAsia="Calibri" w:hAnsi="Arial" w:cs="Arial"/>
        </w:rPr>
      </w:pPr>
    </w:p>
    <w:sectPr w:rsidR="00AF555A" w:rsidRPr="007A0EF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60F5" w14:textId="77777777" w:rsidR="00E93463" w:rsidRDefault="00E93463" w:rsidP="007A0EF2">
      <w:pPr>
        <w:spacing w:after="0" w:line="240" w:lineRule="auto"/>
      </w:pPr>
      <w:r>
        <w:separator/>
      </w:r>
    </w:p>
  </w:endnote>
  <w:endnote w:type="continuationSeparator" w:id="0">
    <w:p w14:paraId="08352ACE" w14:textId="77777777" w:rsidR="00E93463" w:rsidRDefault="00E93463" w:rsidP="007A0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782891"/>
      <w:docPartObj>
        <w:docPartGallery w:val="Page Numbers (Bottom of Page)"/>
        <w:docPartUnique/>
      </w:docPartObj>
    </w:sdtPr>
    <w:sdtEndPr>
      <w:rPr>
        <w:noProof/>
      </w:rPr>
    </w:sdtEndPr>
    <w:sdtContent>
      <w:p w14:paraId="2439CE51" w14:textId="0D4B6582" w:rsidR="007A0EF2" w:rsidRDefault="007A0EF2">
        <w:pPr>
          <w:pStyle w:val="Footer"/>
          <w:jc w:val="center"/>
        </w:pPr>
        <w:r>
          <w:fldChar w:fldCharType="begin"/>
        </w:r>
        <w:r>
          <w:instrText xml:space="preserve"> PAGE   \* MERGEFORMAT </w:instrText>
        </w:r>
        <w:r>
          <w:fldChar w:fldCharType="separate"/>
        </w:r>
        <w:r w:rsidR="00EF11E1">
          <w:rPr>
            <w:noProof/>
          </w:rPr>
          <w:t>1</w:t>
        </w:r>
        <w:r>
          <w:rPr>
            <w:noProof/>
          </w:rPr>
          <w:fldChar w:fldCharType="end"/>
        </w:r>
      </w:p>
    </w:sdtContent>
  </w:sdt>
  <w:p w14:paraId="407B1688" w14:textId="77777777" w:rsidR="007A0EF2" w:rsidRDefault="007A0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B433" w14:textId="77777777" w:rsidR="00E93463" w:rsidRDefault="00E93463" w:rsidP="007A0EF2">
      <w:pPr>
        <w:spacing w:after="0" w:line="240" w:lineRule="auto"/>
      </w:pPr>
      <w:r>
        <w:separator/>
      </w:r>
    </w:p>
  </w:footnote>
  <w:footnote w:type="continuationSeparator" w:id="0">
    <w:p w14:paraId="569E6DB8" w14:textId="77777777" w:rsidR="00E93463" w:rsidRDefault="00E93463" w:rsidP="007A0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A1B"/>
    <w:multiLevelType w:val="hybridMultilevel"/>
    <w:tmpl w:val="272082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EE2FE6"/>
    <w:multiLevelType w:val="hybridMultilevel"/>
    <w:tmpl w:val="76FE8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6F4B4C"/>
    <w:multiLevelType w:val="hybridMultilevel"/>
    <w:tmpl w:val="EA8EDC42"/>
    <w:lvl w:ilvl="0" w:tplc="6936DE40">
      <w:start w:val="1"/>
      <w:numFmt w:val="bullet"/>
      <w:lvlText w:val="-"/>
      <w:lvlJc w:val="left"/>
      <w:pPr>
        <w:ind w:left="624" w:hanging="360"/>
      </w:pPr>
      <w:rPr>
        <w:rFonts w:ascii="Arial" w:eastAsia="Segoe UI Symbol" w:hAnsi="Arial" w:cs="Aria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3" w15:restartNumberingAfterBreak="0">
    <w:nsid w:val="59C64568"/>
    <w:multiLevelType w:val="hybridMultilevel"/>
    <w:tmpl w:val="C46CE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B540199"/>
    <w:multiLevelType w:val="hybridMultilevel"/>
    <w:tmpl w:val="38C437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285DBF"/>
    <w:multiLevelType w:val="hybridMultilevel"/>
    <w:tmpl w:val="89D8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C13E45"/>
    <w:multiLevelType w:val="hybridMultilevel"/>
    <w:tmpl w:val="15B043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E0E2EB8"/>
    <w:multiLevelType w:val="hybridMultilevel"/>
    <w:tmpl w:val="E55CBC84"/>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FD"/>
    <w:rsid w:val="00072FC4"/>
    <w:rsid w:val="00103688"/>
    <w:rsid w:val="001A197F"/>
    <w:rsid w:val="001D344B"/>
    <w:rsid w:val="00200F33"/>
    <w:rsid w:val="00274328"/>
    <w:rsid w:val="002A74C5"/>
    <w:rsid w:val="002F056B"/>
    <w:rsid w:val="00360F81"/>
    <w:rsid w:val="003924FD"/>
    <w:rsid w:val="0040258E"/>
    <w:rsid w:val="004662E9"/>
    <w:rsid w:val="004D7CAB"/>
    <w:rsid w:val="0050281F"/>
    <w:rsid w:val="005222ED"/>
    <w:rsid w:val="00530DE4"/>
    <w:rsid w:val="005A59C4"/>
    <w:rsid w:val="005B11AE"/>
    <w:rsid w:val="0064521C"/>
    <w:rsid w:val="006901FF"/>
    <w:rsid w:val="006B20A1"/>
    <w:rsid w:val="006D44A8"/>
    <w:rsid w:val="00731F16"/>
    <w:rsid w:val="007A0EF2"/>
    <w:rsid w:val="00852C1E"/>
    <w:rsid w:val="00883B87"/>
    <w:rsid w:val="00907031"/>
    <w:rsid w:val="00932E32"/>
    <w:rsid w:val="00937A41"/>
    <w:rsid w:val="00942B49"/>
    <w:rsid w:val="009964A5"/>
    <w:rsid w:val="00A22233"/>
    <w:rsid w:val="00AF555A"/>
    <w:rsid w:val="00BE14E0"/>
    <w:rsid w:val="00CB3ABB"/>
    <w:rsid w:val="00CF78E1"/>
    <w:rsid w:val="00D0396F"/>
    <w:rsid w:val="00D328A9"/>
    <w:rsid w:val="00D9426D"/>
    <w:rsid w:val="00DB166A"/>
    <w:rsid w:val="00E11E31"/>
    <w:rsid w:val="00E153C1"/>
    <w:rsid w:val="00E5781B"/>
    <w:rsid w:val="00E65C7D"/>
    <w:rsid w:val="00E93463"/>
    <w:rsid w:val="00EE0B6B"/>
    <w:rsid w:val="00EF11E1"/>
    <w:rsid w:val="00F57A33"/>
    <w:rsid w:val="00FF3C8F"/>
    <w:rsid w:val="79818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D173"/>
  <w15:chartTrackingRefBased/>
  <w15:docId w15:val="{07779EBC-1E01-44E5-8324-41919C81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924F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31F16"/>
    <w:pPr>
      <w:ind w:left="720"/>
      <w:contextualSpacing/>
    </w:pPr>
    <w:rPr>
      <w:rFonts w:ascii="Arial" w:hAnsi="Arial"/>
    </w:rPr>
  </w:style>
  <w:style w:type="paragraph" w:styleId="NoSpacing">
    <w:name w:val="No Spacing"/>
    <w:uiPriority w:val="1"/>
    <w:qFormat/>
    <w:rsid w:val="0040258E"/>
    <w:pPr>
      <w:spacing w:after="0" w:line="240" w:lineRule="auto"/>
    </w:pPr>
  </w:style>
  <w:style w:type="paragraph" w:styleId="BalloonText">
    <w:name w:val="Balloon Text"/>
    <w:basedOn w:val="Normal"/>
    <w:link w:val="BalloonTextChar"/>
    <w:uiPriority w:val="99"/>
    <w:semiHidden/>
    <w:unhideWhenUsed/>
    <w:rsid w:val="00F57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A33"/>
    <w:rPr>
      <w:rFonts w:ascii="Segoe UI" w:hAnsi="Segoe UI" w:cs="Segoe UI"/>
      <w:sz w:val="18"/>
      <w:szCs w:val="18"/>
    </w:rPr>
  </w:style>
  <w:style w:type="character" w:styleId="Hyperlink">
    <w:name w:val="Hyperlink"/>
    <w:basedOn w:val="DefaultParagraphFont"/>
    <w:uiPriority w:val="99"/>
    <w:unhideWhenUsed/>
    <w:rsid w:val="00AF555A"/>
    <w:rPr>
      <w:color w:val="0563C1" w:themeColor="hyperlink"/>
      <w:u w:val="single"/>
    </w:rPr>
  </w:style>
  <w:style w:type="character" w:styleId="CommentReference">
    <w:name w:val="annotation reference"/>
    <w:basedOn w:val="DefaultParagraphFont"/>
    <w:uiPriority w:val="99"/>
    <w:semiHidden/>
    <w:unhideWhenUsed/>
    <w:rsid w:val="00274328"/>
    <w:rPr>
      <w:sz w:val="16"/>
      <w:szCs w:val="16"/>
    </w:rPr>
  </w:style>
  <w:style w:type="paragraph" w:styleId="CommentText">
    <w:name w:val="annotation text"/>
    <w:basedOn w:val="Normal"/>
    <w:link w:val="CommentTextChar"/>
    <w:uiPriority w:val="99"/>
    <w:semiHidden/>
    <w:unhideWhenUsed/>
    <w:rsid w:val="00274328"/>
    <w:pPr>
      <w:spacing w:line="240" w:lineRule="auto"/>
    </w:pPr>
    <w:rPr>
      <w:sz w:val="20"/>
      <w:szCs w:val="20"/>
    </w:rPr>
  </w:style>
  <w:style w:type="character" w:customStyle="1" w:styleId="CommentTextChar">
    <w:name w:val="Comment Text Char"/>
    <w:basedOn w:val="DefaultParagraphFont"/>
    <w:link w:val="CommentText"/>
    <w:uiPriority w:val="99"/>
    <w:semiHidden/>
    <w:rsid w:val="00274328"/>
    <w:rPr>
      <w:sz w:val="20"/>
      <w:szCs w:val="20"/>
    </w:rPr>
  </w:style>
  <w:style w:type="paragraph" w:styleId="CommentSubject">
    <w:name w:val="annotation subject"/>
    <w:basedOn w:val="CommentText"/>
    <w:next w:val="CommentText"/>
    <w:link w:val="CommentSubjectChar"/>
    <w:uiPriority w:val="99"/>
    <w:semiHidden/>
    <w:unhideWhenUsed/>
    <w:rsid w:val="00274328"/>
    <w:rPr>
      <w:b/>
      <w:bCs/>
    </w:rPr>
  </w:style>
  <w:style w:type="character" w:customStyle="1" w:styleId="CommentSubjectChar">
    <w:name w:val="Comment Subject Char"/>
    <w:basedOn w:val="CommentTextChar"/>
    <w:link w:val="CommentSubject"/>
    <w:uiPriority w:val="99"/>
    <w:semiHidden/>
    <w:rsid w:val="00274328"/>
    <w:rPr>
      <w:b/>
      <w:bCs/>
      <w:sz w:val="20"/>
      <w:szCs w:val="20"/>
    </w:rPr>
  </w:style>
  <w:style w:type="paragraph" w:styleId="Header">
    <w:name w:val="header"/>
    <w:basedOn w:val="Normal"/>
    <w:link w:val="HeaderChar"/>
    <w:uiPriority w:val="99"/>
    <w:unhideWhenUsed/>
    <w:rsid w:val="007A0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EF2"/>
  </w:style>
  <w:style w:type="paragraph" w:styleId="Footer">
    <w:name w:val="footer"/>
    <w:basedOn w:val="Normal"/>
    <w:link w:val="FooterChar"/>
    <w:uiPriority w:val="99"/>
    <w:unhideWhenUsed/>
    <w:rsid w:val="007A0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72783">
      <w:bodyDiv w:val="1"/>
      <w:marLeft w:val="0"/>
      <w:marRight w:val="0"/>
      <w:marTop w:val="0"/>
      <w:marBottom w:val="0"/>
      <w:divBdr>
        <w:top w:val="none" w:sz="0" w:space="0" w:color="auto"/>
        <w:left w:val="none" w:sz="0" w:space="0" w:color="auto"/>
        <w:bottom w:val="none" w:sz="0" w:space="0" w:color="auto"/>
        <w:right w:val="none" w:sz="0" w:space="0" w:color="auto"/>
      </w:divBdr>
    </w:div>
    <w:div w:id="113772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hsproviders.org/media/1580/fit-and-proper-person-test-guidance-nhs-providers.pdf" TargetMode="External"/><Relationship Id="rId5" Type="http://schemas.openxmlformats.org/officeDocument/2006/relationships/styles" Target="styles.xml"/><Relationship Id="rId10" Type="http://schemas.openxmlformats.org/officeDocument/2006/relationships/hyperlink" Target="https://www.england.nhs.uk/non-executive-opportunities/wp-content/uploads/sites/54/2021/02/The-Nolan-Principles-of-Public-Lif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579A2F34ABE46A0F7288793734B08" ma:contentTypeVersion="12" ma:contentTypeDescription="Create a new document." ma:contentTypeScope="" ma:versionID="c56cc12aa689a9f95ccfc4f1e68804a1">
  <xsd:schema xmlns:xsd="http://www.w3.org/2001/XMLSchema" xmlns:xs="http://www.w3.org/2001/XMLSchema" xmlns:p="http://schemas.microsoft.com/office/2006/metadata/properties" xmlns:ns1="http://schemas.microsoft.com/sharepoint/v3" xmlns:ns2="0cce2145-3216-443f-83bb-aa41c3cee7d7" xmlns:ns3="d8cf210c-7ff7-428d-89ca-2d41793d6793" targetNamespace="http://schemas.microsoft.com/office/2006/metadata/properties" ma:root="true" ma:fieldsID="0e6674369c7d03d8c477f300f6e2691e" ns1:_="" ns2:_="" ns3:_="">
    <xsd:import namespace="http://schemas.microsoft.com/sharepoint/v3"/>
    <xsd:import namespace="0cce2145-3216-443f-83bb-aa41c3cee7d7"/>
    <xsd:import namespace="d8cf210c-7ff7-428d-89ca-2d41793d67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e2145-3216-443f-83bb-aa41c3cee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f210c-7ff7-428d-89ca-2d41793d67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6CC9E-A789-4DDC-9E90-792F2DFC7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ce2145-3216-443f-83bb-aa41c3cee7d7"/>
    <ds:schemaRef ds:uri="d8cf210c-7ff7-428d-89ca-2d41793d6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7ADAA-2D97-4C02-92F4-732288BF88D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63D82BB-B37A-44FD-A7F7-698C40D72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Laxmi (NHS NEL CSU)</dc:creator>
  <cp:keywords/>
  <dc:description/>
  <cp:lastModifiedBy>HARDING, Laxmi (NHS NEL CSU)</cp:lastModifiedBy>
  <cp:revision>2</cp:revision>
  <dcterms:created xsi:type="dcterms:W3CDTF">2022-05-17T14:40:00Z</dcterms:created>
  <dcterms:modified xsi:type="dcterms:W3CDTF">2022-05-17T14:40:00Z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0x0101005AC579A2F34ABE46A0F7288793734B08</vt:lpwstr>
  </property>
</Properties>
</file>