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pptx" ContentType="application/vnd.openxmlformats-officedocument.presentationml.presentation"/>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A348A0" w14:textId="77777777" w:rsidR="00483679" w:rsidRDefault="00483679" w:rsidP="00246FA6">
      <w:pPr>
        <w:spacing w:after="0" w:line="276" w:lineRule="auto"/>
        <w:jc w:val="center"/>
        <w:rPr>
          <w:rFonts w:ascii="Arial" w:hAnsi="Arial" w:cs="Arial"/>
          <w:b/>
          <w:bCs/>
        </w:rPr>
      </w:pPr>
      <w:bookmarkStart w:id="0" w:name="_GoBack"/>
      <w:bookmarkEnd w:id="0"/>
    </w:p>
    <w:p w14:paraId="21CB28FD" w14:textId="77777777" w:rsidR="005E60A3" w:rsidRPr="00311915" w:rsidRDefault="00246FA6" w:rsidP="00246FA6">
      <w:pPr>
        <w:spacing w:after="0" w:line="276" w:lineRule="auto"/>
        <w:jc w:val="center"/>
        <w:rPr>
          <w:rFonts w:ascii="Arial" w:hAnsi="Arial" w:cs="Arial"/>
          <w:b/>
          <w:bCs/>
          <w:sz w:val="24"/>
        </w:rPr>
      </w:pPr>
      <w:r w:rsidRPr="00311915">
        <w:rPr>
          <w:rFonts w:ascii="Arial" w:hAnsi="Arial" w:cs="Arial"/>
          <w:b/>
          <w:bCs/>
          <w:sz w:val="24"/>
        </w:rPr>
        <w:t>COVID-19 Pandemic</w:t>
      </w:r>
    </w:p>
    <w:p w14:paraId="09F0307B" w14:textId="77777777" w:rsidR="00246FA6" w:rsidRDefault="00480D86" w:rsidP="00246FA6">
      <w:pPr>
        <w:spacing w:after="0" w:line="276" w:lineRule="auto"/>
        <w:jc w:val="center"/>
        <w:rPr>
          <w:rFonts w:ascii="Arial" w:hAnsi="Arial" w:cs="Arial"/>
          <w:b/>
          <w:bCs/>
          <w:sz w:val="24"/>
        </w:rPr>
      </w:pPr>
      <w:r w:rsidRPr="00311915">
        <w:rPr>
          <w:rFonts w:ascii="Arial" w:hAnsi="Arial" w:cs="Arial"/>
          <w:b/>
          <w:bCs/>
          <w:sz w:val="24"/>
        </w:rPr>
        <w:t xml:space="preserve">NCL </w:t>
      </w:r>
      <w:r w:rsidR="004F14A9" w:rsidRPr="00311915">
        <w:rPr>
          <w:rFonts w:ascii="Arial" w:hAnsi="Arial" w:cs="Arial"/>
          <w:b/>
          <w:bCs/>
          <w:sz w:val="24"/>
        </w:rPr>
        <w:t>Financial Governance A</w:t>
      </w:r>
      <w:r w:rsidR="00246FA6" w:rsidRPr="00311915">
        <w:rPr>
          <w:rFonts w:ascii="Arial" w:hAnsi="Arial" w:cs="Arial"/>
          <w:b/>
          <w:bCs/>
          <w:sz w:val="24"/>
        </w:rPr>
        <w:t>rrangements</w:t>
      </w:r>
    </w:p>
    <w:p w14:paraId="276E219E" w14:textId="470C837D" w:rsidR="004727A9" w:rsidRPr="00311915" w:rsidRDefault="004727A9" w:rsidP="00246FA6">
      <w:pPr>
        <w:spacing w:after="0" w:line="276" w:lineRule="auto"/>
        <w:jc w:val="center"/>
        <w:rPr>
          <w:rFonts w:ascii="Arial" w:hAnsi="Arial" w:cs="Arial"/>
          <w:b/>
          <w:bCs/>
          <w:sz w:val="24"/>
        </w:rPr>
      </w:pPr>
      <w:r>
        <w:rPr>
          <w:rFonts w:ascii="Arial" w:hAnsi="Arial" w:cs="Arial"/>
          <w:b/>
          <w:bCs/>
          <w:sz w:val="24"/>
        </w:rPr>
        <w:t>April 2020</w:t>
      </w:r>
    </w:p>
    <w:p w14:paraId="5E80857F" w14:textId="77777777" w:rsidR="00246FA6" w:rsidRDefault="00246FA6" w:rsidP="00246FA6">
      <w:pPr>
        <w:spacing w:after="0" w:line="276" w:lineRule="auto"/>
        <w:rPr>
          <w:rFonts w:ascii="Arial" w:hAnsi="Arial" w:cs="Arial"/>
        </w:rPr>
      </w:pPr>
    </w:p>
    <w:p w14:paraId="038E366D" w14:textId="77777777" w:rsidR="00483679" w:rsidRDefault="00483679" w:rsidP="00246FA6">
      <w:pPr>
        <w:spacing w:after="0" w:line="276" w:lineRule="auto"/>
        <w:rPr>
          <w:rFonts w:ascii="Arial" w:hAnsi="Arial" w:cs="Arial"/>
        </w:rPr>
      </w:pPr>
    </w:p>
    <w:p w14:paraId="01CAAC8C" w14:textId="77777777" w:rsidR="00483679" w:rsidRPr="00483679" w:rsidRDefault="00483679" w:rsidP="00246FA6">
      <w:pPr>
        <w:spacing w:after="0" w:line="276" w:lineRule="auto"/>
        <w:rPr>
          <w:rFonts w:ascii="Arial" w:hAnsi="Arial" w:cs="Arial"/>
        </w:rPr>
      </w:pPr>
    </w:p>
    <w:p w14:paraId="574A2C22" w14:textId="77777777" w:rsidR="00246FA6" w:rsidRPr="00483679" w:rsidRDefault="00246FA6" w:rsidP="004649E0">
      <w:pPr>
        <w:pStyle w:val="ListParagraph"/>
        <w:numPr>
          <w:ilvl w:val="0"/>
          <w:numId w:val="4"/>
        </w:numPr>
        <w:spacing w:after="240"/>
        <w:ind w:left="567" w:hanging="567"/>
        <w:jc w:val="both"/>
        <w:rPr>
          <w:rFonts w:ascii="Arial" w:hAnsi="Arial" w:cs="Arial"/>
          <w:b/>
          <w:bCs/>
        </w:rPr>
      </w:pPr>
      <w:r w:rsidRPr="00483679">
        <w:rPr>
          <w:rFonts w:ascii="Arial" w:hAnsi="Arial" w:cs="Arial"/>
          <w:b/>
          <w:bCs/>
        </w:rPr>
        <w:t>Purpose</w:t>
      </w:r>
    </w:p>
    <w:p w14:paraId="538BF3D0" w14:textId="77777777" w:rsidR="0013295E" w:rsidRPr="00483679" w:rsidRDefault="00246FA6" w:rsidP="004649E0">
      <w:pPr>
        <w:spacing w:after="240" w:line="240" w:lineRule="auto"/>
        <w:ind w:left="567"/>
        <w:jc w:val="both"/>
        <w:rPr>
          <w:rFonts w:ascii="Arial" w:hAnsi="Arial" w:cs="Arial"/>
        </w:rPr>
      </w:pPr>
      <w:r w:rsidRPr="00483679">
        <w:rPr>
          <w:rFonts w:ascii="Arial" w:hAnsi="Arial" w:cs="Arial"/>
        </w:rPr>
        <w:t xml:space="preserve">This document sets out the financial governance arrangements for COVID-19 related expenditure. This document does not replace </w:t>
      </w:r>
      <w:r w:rsidR="00472F49" w:rsidRPr="00483679">
        <w:rPr>
          <w:rFonts w:ascii="Arial" w:hAnsi="Arial" w:cs="Arial"/>
        </w:rPr>
        <w:t xml:space="preserve">the </w:t>
      </w:r>
      <w:r w:rsidR="00480D86" w:rsidRPr="00483679">
        <w:rPr>
          <w:rFonts w:ascii="Arial" w:hAnsi="Arial" w:cs="Arial"/>
        </w:rPr>
        <w:t>CCGs</w:t>
      </w:r>
      <w:r w:rsidRPr="00483679">
        <w:rPr>
          <w:rFonts w:ascii="Arial" w:hAnsi="Arial" w:cs="Arial"/>
        </w:rPr>
        <w:t xml:space="preserve"> normal financial arrangements and S</w:t>
      </w:r>
      <w:r w:rsidR="004A0307" w:rsidRPr="00483679">
        <w:rPr>
          <w:rFonts w:ascii="Arial" w:hAnsi="Arial" w:cs="Arial"/>
        </w:rPr>
        <w:t xml:space="preserve">tanding </w:t>
      </w:r>
      <w:r w:rsidRPr="00483679">
        <w:rPr>
          <w:rFonts w:ascii="Arial" w:hAnsi="Arial" w:cs="Arial"/>
        </w:rPr>
        <w:t>F</w:t>
      </w:r>
      <w:r w:rsidR="004A0307" w:rsidRPr="00483679">
        <w:rPr>
          <w:rFonts w:ascii="Arial" w:hAnsi="Arial" w:cs="Arial"/>
        </w:rPr>
        <w:t xml:space="preserve">inancial </w:t>
      </w:r>
      <w:r w:rsidRPr="00483679">
        <w:rPr>
          <w:rFonts w:ascii="Arial" w:hAnsi="Arial" w:cs="Arial"/>
        </w:rPr>
        <w:t>I</w:t>
      </w:r>
      <w:r w:rsidR="004A0307" w:rsidRPr="00483679">
        <w:rPr>
          <w:rFonts w:ascii="Arial" w:hAnsi="Arial" w:cs="Arial"/>
        </w:rPr>
        <w:t>nstruction</w:t>
      </w:r>
      <w:r w:rsidRPr="00483679">
        <w:rPr>
          <w:rFonts w:ascii="Arial" w:hAnsi="Arial" w:cs="Arial"/>
        </w:rPr>
        <w:t>s</w:t>
      </w:r>
      <w:r w:rsidR="004A0307" w:rsidRPr="00483679">
        <w:rPr>
          <w:rFonts w:ascii="Arial" w:hAnsi="Arial" w:cs="Arial"/>
        </w:rPr>
        <w:t xml:space="preserve"> (‘SFIs’)</w:t>
      </w:r>
      <w:r w:rsidRPr="00483679">
        <w:rPr>
          <w:rFonts w:ascii="Arial" w:hAnsi="Arial" w:cs="Arial"/>
        </w:rPr>
        <w:t xml:space="preserve"> but supplements them for COVID-19 related spend</w:t>
      </w:r>
      <w:r w:rsidR="00BC5797" w:rsidRPr="00483679">
        <w:rPr>
          <w:rFonts w:ascii="Arial" w:hAnsi="Arial" w:cs="Arial"/>
        </w:rPr>
        <w:t>, and summarises the rationale for any changes to financial governance arrangements,</w:t>
      </w:r>
      <w:r w:rsidRPr="00483679">
        <w:rPr>
          <w:rFonts w:ascii="Arial" w:hAnsi="Arial" w:cs="Arial"/>
        </w:rPr>
        <w:t xml:space="preserve"> to enable </w:t>
      </w:r>
      <w:r w:rsidR="00BC5797" w:rsidRPr="00483679">
        <w:rPr>
          <w:rFonts w:ascii="Arial" w:hAnsi="Arial" w:cs="Arial"/>
        </w:rPr>
        <w:t xml:space="preserve">efficient and effective </w:t>
      </w:r>
      <w:r w:rsidRPr="00483679">
        <w:rPr>
          <w:rFonts w:ascii="Arial" w:hAnsi="Arial" w:cs="Arial"/>
        </w:rPr>
        <w:t>decision making and ensure capture and monitor of associated expenditure in line with NHS</w:t>
      </w:r>
      <w:r w:rsidR="004A0307" w:rsidRPr="00483679">
        <w:rPr>
          <w:rFonts w:ascii="Arial" w:hAnsi="Arial" w:cs="Arial"/>
        </w:rPr>
        <w:t xml:space="preserve"> England and </w:t>
      </w:r>
      <w:r w:rsidR="006A4B3A" w:rsidRPr="00483679">
        <w:rPr>
          <w:rFonts w:ascii="Arial" w:hAnsi="Arial" w:cs="Arial"/>
        </w:rPr>
        <w:t xml:space="preserve">NHS </w:t>
      </w:r>
      <w:r w:rsidR="004A0307" w:rsidRPr="00483679">
        <w:rPr>
          <w:rFonts w:ascii="Arial" w:hAnsi="Arial" w:cs="Arial"/>
        </w:rPr>
        <w:t>Improvement (‘NHSE/I’)</w:t>
      </w:r>
      <w:r w:rsidRPr="00483679">
        <w:rPr>
          <w:rFonts w:ascii="Arial" w:hAnsi="Arial" w:cs="Arial"/>
        </w:rPr>
        <w:t xml:space="preserve"> guidance.</w:t>
      </w:r>
      <w:r w:rsidR="0013295E" w:rsidRPr="00483679">
        <w:rPr>
          <w:rFonts w:ascii="Arial" w:hAnsi="Arial" w:cs="Arial"/>
        </w:rPr>
        <w:t xml:space="preserve"> </w:t>
      </w:r>
    </w:p>
    <w:p w14:paraId="3B154CC7" w14:textId="77777777" w:rsidR="00246FA6" w:rsidRPr="00483679" w:rsidRDefault="0013295E" w:rsidP="004649E0">
      <w:pPr>
        <w:spacing w:after="240" w:line="240" w:lineRule="auto"/>
        <w:ind w:left="567"/>
        <w:jc w:val="both"/>
        <w:rPr>
          <w:rFonts w:ascii="Arial" w:hAnsi="Arial" w:cs="Arial"/>
        </w:rPr>
      </w:pPr>
      <w:r w:rsidRPr="00483679">
        <w:rPr>
          <w:rFonts w:ascii="Arial" w:hAnsi="Arial" w:cs="Arial"/>
        </w:rPr>
        <w:t xml:space="preserve">These arrangements are </w:t>
      </w:r>
      <w:r w:rsidR="005A4200" w:rsidRPr="00483679">
        <w:rPr>
          <w:rFonts w:ascii="Arial" w:hAnsi="Arial" w:cs="Arial"/>
        </w:rPr>
        <w:t>to be reviewed every 3 months as a minimum</w:t>
      </w:r>
      <w:r w:rsidRPr="00483679">
        <w:rPr>
          <w:rFonts w:ascii="Arial" w:hAnsi="Arial" w:cs="Arial"/>
        </w:rPr>
        <w:t xml:space="preserve"> but will be kept under constant review.</w:t>
      </w:r>
    </w:p>
    <w:p w14:paraId="3B2F3C72" w14:textId="77777777" w:rsidR="002E4C32" w:rsidRPr="00483679" w:rsidRDefault="002E4C32" w:rsidP="004649E0">
      <w:pPr>
        <w:spacing w:after="240" w:line="240" w:lineRule="auto"/>
        <w:ind w:left="567"/>
        <w:jc w:val="both"/>
        <w:rPr>
          <w:rFonts w:ascii="Arial" w:hAnsi="Arial" w:cs="Arial"/>
          <w:i/>
        </w:rPr>
      </w:pPr>
      <w:r w:rsidRPr="00483679">
        <w:rPr>
          <w:rFonts w:ascii="Arial" w:hAnsi="Arial" w:cs="Arial"/>
          <w:i/>
        </w:rPr>
        <w:t xml:space="preserve">Please note that the NCL CCGs Standing Financial Instructions Change on the 1 April 2020 (attached).  These replace the individual NCL CCGs SFI’s which finish on 31 March 2020. </w:t>
      </w:r>
    </w:p>
    <w:p w14:paraId="1E2EA633" w14:textId="223308AD" w:rsidR="00E7472F" w:rsidRPr="00483679" w:rsidRDefault="009754F3" w:rsidP="004649E0">
      <w:pPr>
        <w:spacing w:after="360" w:line="240" w:lineRule="auto"/>
        <w:ind w:left="567"/>
        <w:jc w:val="both"/>
        <w:rPr>
          <w:rFonts w:ascii="Arial" w:hAnsi="Arial" w:cs="Arial"/>
        </w:rPr>
      </w:pPr>
      <w:r w:rsidRPr="00483679">
        <w:rPr>
          <w:rFonts w:ascii="Arial" w:hAnsi="Arial" w:cs="Arial"/>
        </w:rPr>
        <w:t xml:space="preserve">Detailed financial guidance has not yet been issued.  The financial governance arrangements </w:t>
      </w:r>
      <w:r w:rsidR="00796E55">
        <w:rPr>
          <w:rFonts w:ascii="Arial" w:hAnsi="Arial" w:cs="Arial"/>
        </w:rPr>
        <w:t>w</w:t>
      </w:r>
      <w:r w:rsidRPr="00483679">
        <w:rPr>
          <w:rFonts w:ascii="Arial" w:hAnsi="Arial" w:cs="Arial"/>
        </w:rPr>
        <w:t xml:space="preserve">ill be kept under review and updated in accordance with national guidance received. </w:t>
      </w:r>
    </w:p>
    <w:p w14:paraId="7EAAC29F" w14:textId="77777777" w:rsidR="00E7472F" w:rsidRPr="00626A98" w:rsidRDefault="00E7472F" w:rsidP="00626A98">
      <w:pPr>
        <w:pStyle w:val="ListParagraph"/>
        <w:numPr>
          <w:ilvl w:val="0"/>
          <w:numId w:val="4"/>
        </w:numPr>
        <w:spacing w:after="120"/>
        <w:ind w:left="567" w:hanging="567"/>
        <w:jc w:val="both"/>
        <w:rPr>
          <w:rFonts w:ascii="Arial" w:hAnsi="Arial" w:cs="Arial"/>
          <w:b/>
        </w:rPr>
      </w:pPr>
      <w:r w:rsidRPr="00626A98">
        <w:rPr>
          <w:rFonts w:ascii="Arial" w:hAnsi="Arial" w:cs="Arial"/>
          <w:b/>
        </w:rPr>
        <w:t>Financial Principles</w:t>
      </w:r>
    </w:p>
    <w:p w14:paraId="77F954A1" w14:textId="77777777" w:rsidR="00E7472F" w:rsidRPr="00483679" w:rsidRDefault="00E77D70" w:rsidP="00626A98">
      <w:pPr>
        <w:spacing w:after="120" w:line="240" w:lineRule="auto"/>
        <w:ind w:left="567"/>
        <w:jc w:val="both"/>
        <w:rPr>
          <w:rFonts w:ascii="Arial" w:hAnsi="Arial" w:cs="Arial"/>
        </w:rPr>
      </w:pPr>
      <w:r w:rsidRPr="00483679">
        <w:rPr>
          <w:rFonts w:ascii="Arial" w:hAnsi="Arial" w:cs="Arial"/>
        </w:rPr>
        <w:t>Financial Principles applicable</w:t>
      </w:r>
      <w:r w:rsidR="00221C69" w:rsidRPr="00483679">
        <w:rPr>
          <w:rFonts w:ascii="Arial" w:hAnsi="Arial" w:cs="Arial"/>
        </w:rPr>
        <w:t xml:space="preserve"> during the COVID19 period </w:t>
      </w:r>
      <w:r w:rsidRPr="00483679">
        <w:rPr>
          <w:rFonts w:ascii="Arial" w:hAnsi="Arial" w:cs="Arial"/>
        </w:rPr>
        <w:t xml:space="preserve">include the following: </w:t>
      </w:r>
    </w:p>
    <w:p w14:paraId="3330A2E5" w14:textId="77777777" w:rsidR="00221C69" w:rsidRPr="00483679" w:rsidRDefault="00221C69" w:rsidP="00626A98">
      <w:pPr>
        <w:pStyle w:val="ListParagraph"/>
        <w:numPr>
          <w:ilvl w:val="0"/>
          <w:numId w:val="15"/>
        </w:numPr>
        <w:spacing w:after="120"/>
        <w:ind w:left="1134" w:hanging="578"/>
        <w:rPr>
          <w:rFonts w:ascii="Arial" w:hAnsi="Arial" w:cs="Arial"/>
        </w:rPr>
      </w:pPr>
      <w:r w:rsidRPr="00483679">
        <w:rPr>
          <w:rFonts w:ascii="Arial" w:hAnsi="Arial" w:cs="Arial"/>
        </w:rPr>
        <w:t xml:space="preserve">We should assume that funding is not a barrier to taking appropriate actions in the response to COVID-19. </w:t>
      </w:r>
    </w:p>
    <w:p w14:paraId="6BE5EF26" w14:textId="77777777" w:rsidR="00221C69" w:rsidRPr="00483679" w:rsidRDefault="00221C69" w:rsidP="00626A98">
      <w:pPr>
        <w:pStyle w:val="ListParagraph"/>
        <w:numPr>
          <w:ilvl w:val="0"/>
          <w:numId w:val="15"/>
        </w:numPr>
        <w:spacing w:after="120"/>
        <w:ind w:left="1134" w:hanging="578"/>
        <w:rPr>
          <w:rFonts w:ascii="Arial" w:hAnsi="Arial" w:cs="Arial"/>
        </w:rPr>
      </w:pPr>
      <w:r w:rsidRPr="00483679">
        <w:rPr>
          <w:rFonts w:ascii="Arial" w:hAnsi="Arial" w:cs="Arial"/>
        </w:rPr>
        <w:t>We must not forget our responsibility to be guardians of the public purse and should ensure that we set up the best financial environment and processes we can as we should expect to be held accountable for the decisions we make during this period once it has finished.</w:t>
      </w:r>
    </w:p>
    <w:p w14:paraId="6F147B57" w14:textId="77777777" w:rsidR="00221C69" w:rsidRPr="00483679" w:rsidRDefault="00221C69" w:rsidP="00626A98">
      <w:pPr>
        <w:pStyle w:val="ListParagraph"/>
        <w:numPr>
          <w:ilvl w:val="0"/>
          <w:numId w:val="15"/>
        </w:numPr>
        <w:spacing w:after="120"/>
        <w:ind w:left="1134" w:hanging="578"/>
        <w:rPr>
          <w:rFonts w:ascii="Arial" w:hAnsi="Arial" w:cs="Arial"/>
        </w:rPr>
      </w:pPr>
      <w:r w:rsidRPr="00483679">
        <w:rPr>
          <w:rFonts w:ascii="Arial" w:hAnsi="Arial" w:cs="Arial"/>
        </w:rPr>
        <w:t>COVID expenditure decisions need to be properly authorised and recorded in order that NCL CCG can:</w:t>
      </w:r>
    </w:p>
    <w:p w14:paraId="7FCCA03A" w14:textId="77777777" w:rsidR="00221C69" w:rsidRPr="00483679" w:rsidRDefault="00221C69" w:rsidP="00626A98">
      <w:pPr>
        <w:pStyle w:val="ListParagraph"/>
        <w:numPr>
          <w:ilvl w:val="0"/>
          <w:numId w:val="16"/>
        </w:numPr>
        <w:ind w:left="1134" w:firstLine="0"/>
        <w:rPr>
          <w:rFonts w:ascii="Arial" w:hAnsi="Arial" w:cs="Arial"/>
        </w:rPr>
      </w:pPr>
      <w:r w:rsidRPr="00483679">
        <w:rPr>
          <w:rFonts w:ascii="Arial" w:hAnsi="Arial" w:cs="Arial"/>
        </w:rPr>
        <w:t>Account for decisions</w:t>
      </w:r>
    </w:p>
    <w:p w14:paraId="682BD95D" w14:textId="77777777" w:rsidR="00221C69" w:rsidRPr="00483679" w:rsidRDefault="00626A98" w:rsidP="00626A98">
      <w:pPr>
        <w:pStyle w:val="ListParagraph"/>
        <w:numPr>
          <w:ilvl w:val="0"/>
          <w:numId w:val="16"/>
        </w:numPr>
        <w:ind w:left="1134" w:firstLine="0"/>
        <w:rPr>
          <w:rFonts w:ascii="Arial" w:hAnsi="Arial" w:cs="Arial"/>
        </w:rPr>
      </w:pPr>
      <w:r>
        <w:rPr>
          <w:rFonts w:ascii="Arial" w:hAnsi="Arial" w:cs="Arial"/>
        </w:rPr>
        <w:t>Be re</w:t>
      </w:r>
      <w:r w:rsidR="00221C69" w:rsidRPr="00483679">
        <w:rPr>
          <w:rFonts w:ascii="Arial" w:hAnsi="Arial" w:cs="Arial"/>
        </w:rPr>
        <w:t>imbursed</w:t>
      </w:r>
    </w:p>
    <w:p w14:paraId="753EAE35" w14:textId="77777777" w:rsidR="00221C69" w:rsidRPr="00483679" w:rsidRDefault="00221C69" w:rsidP="00626A98">
      <w:pPr>
        <w:pStyle w:val="ListParagraph"/>
        <w:numPr>
          <w:ilvl w:val="0"/>
          <w:numId w:val="16"/>
        </w:numPr>
        <w:ind w:left="1134" w:firstLine="0"/>
        <w:rPr>
          <w:rFonts w:ascii="Arial" w:hAnsi="Arial" w:cs="Arial"/>
        </w:rPr>
      </w:pPr>
      <w:r w:rsidRPr="00483679">
        <w:rPr>
          <w:rFonts w:ascii="Arial" w:hAnsi="Arial" w:cs="Arial"/>
        </w:rPr>
        <w:t>Tracked in the ledger</w:t>
      </w:r>
    </w:p>
    <w:p w14:paraId="00AE16E7" w14:textId="77777777" w:rsidR="00221C69" w:rsidRPr="00483679" w:rsidRDefault="00221C69" w:rsidP="00626A98">
      <w:pPr>
        <w:pStyle w:val="ListParagraph"/>
        <w:numPr>
          <w:ilvl w:val="0"/>
          <w:numId w:val="16"/>
        </w:numPr>
        <w:ind w:left="1134" w:firstLine="0"/>
        <w:rPr>
          <w:rFonts w:ascii="Arial" w:hAnsi="Arial" w:cs="Arial"/>
        </w:rPr>
      </w:pPr>
      <w:r w:rsidRPr="00483679">
        <w:rPr>
          <w:rFonts w:ascii="Arial" w:hAnsi="Arial" w:cs="Arial"/>
        </w:rPr>
        <w:t>Tell the 19/20 and 20/21 finance story and bridge from the pre-COVID financial plan</w:t>
      </w:r>
    </w:p>
    <w:p w14:paraId="31B141E8" w14:textId="77777777" w:rsidR="00221C69" w:rsidRPr="00483679" w:rsidRDefault="00221C69" w:rsidP="00626A98">
      <w:pPr>
        <w:pStyle w:val="ListParagraph"/>
        <w:numPr>
          <w:ilvl w:val="0"/>
          <w:numId w:val="16"/>
        </w:numPr>
        <w:spacing w:after="120"/>
        <w:ind w:left="1134" w:firstLine="0"/>
        <w:rPr>
          <w:rFonts w:ascii="Arial" w:hAnsi="Arial" w:cs="Arial"/>
        </w:rPr>
      </w:pPr>
      <w:r w:rsidRPr="00483679">
        <w:rPr>
          <w:rFonts w:ascii="Arial" w:hAnsi="Arial" w:cs="Arial"/>
        </w:rPr>
        <w:t>Be aware of exit costs</w:t>
      </w:r>
    </w:p>
    <w:p w14:paraId="783A3EA4" w14:textId="77777777" w:rsidR="00221C69" w:rsidRPr="00483679" w:rsidRDefault="00221C69" w:rsidP="00626A98">
      <w:pPr>
        <w:pStyle w:val="ListParagraph"/>
        <w:numPr>
          <w:ilvl w:val="0"/>
          <w:numId w:val="15"/>
        </w:numPr>
        <w:spacing w:after="120"/>
        <w:ind w:left="1134" w:hanging="578"/>
        <w:rPr>
          <w:rFonts w:ascii="Arial" w:hAnsi="Arial" w:cs="Arial"/>
        </w:rPr>
      </w:pPr>
      <w:r w:rsidRPr="00483679">
        <w:rPr>
          <w:rFonts w:ascii="Arial" w:hAnsi="Arial" w:cs="Arial"/>
        </w:rPr>
        <w:t>COVID workstream leads are responsible for approving COVID spend in their workstream.</w:t>
      </w:r>
    </w:p>
    <w:p w14:paraId="6D820B5B" w14:textId="77777777" w:rsidR="00221C69" w:rsidRPr="00483679" w:rsidRDefault="00221C69" w:rsidP="00626A98">
      <w:pPr>
        <w:pStyle w:val="ListParagraph"/>
        <w:numPr>
          <w:ilvl w:val="0"/>
          <w:numId w:val="15"/>
        </w:numPr>
        <w:spacing w:after="120"/>
        <w:ind w:left="1134" w:hanging="578"/>
        <w:rPr>
          <w:rFonts w:ascii="Arial" w:hAnsi="Arial" w:cs="Arial"/>
        </w:rPr>
      </w:pPr>
      <w:r w:rsidRPr="00483679">
        <w:rPr>
          <w:rFonts w:ascii="Arial" w:hAnsi="Arial" w:cs="Arial"/>
        </w:rPr>
        <w:t>There will a financial decision log and COVID cost collection process to be completed by each COVID workstream on a regular basis.</w:t>
      </w:r>
    </w:p>
    <w:p w14:paraId="30FA8856" w14:textId="77777777" w:rsidR="00221C69" w:rsidRPr="00483679" w:rsidRDefault="00221C69" w:rsidP="00626A98">
      <w:pPr>
        <w:pStyle w:val="ListParagraph"/>
        <w:numPr>
          <w:ilvl w:val="0"/>
          <w:numId w:val="15"/>
        </w:numPr>
        <w:spacing w:after="120"/>
        <w:ind w:left="1134" w:hanging="578"/>
        <w:rPr>
          <w:rFonts w:ascii="Arial" w:hAnsi="Arial" w:cs="Arial"/>
        </w:rPr>
      </w:pPr>
      <w:r w:rsidRPr="00483679">
        <w:rPr>
          <w:rFonts w:ascii="Arial" w:hAnsi="Arial" w:cs="Arial"/>
        </w:rPr>
        <w:t>There will be amendments to the inaugural NCL CCG SFIs authorisation limits and procurement rules for the COVID period that will be kept under review. Some procurement rules are relaxed during the COVID period.</w:t>
      </w:r>
    </w:p>
    <w:p w14:paraId="164D22D6" w14:textId="77777777" w:rsidR="00221C69" w:rsidRPr="00483679" w:rsidRDefault="00221C69" w:rsidP="00626A98">
      <w:pPr>
        <w:pStyle w:val="ListParagraph"/>
        <w:numPr>
          <w:ilvl w:val="0"/>
          <w:numId w:val="15"/>
        </w:numPr>
        <w:spacing w:after="120"/>
        <w:ind w:left="1134" w:hanging="578"/>
        <w:rPr>
          <w:rFonts w:ascii="Arial" w:hAnsi="Arial" w:cs="Arial"/>
        </w:rPr>
      </w:pPr>
      <w:r w:rsidRPr="00483679">
        <w:rPr>
          <w:rFonts w:ascii="Arial" w:hAnsi="Arial" w:cs="Arial"/>
        </w:rPr>
        <w:t>Broadly we would expect to incur additional costs in primary care, on discharges, on preparation and co-ordination of STP-wide projects. We would expect local Trusts to incur the additional costs of hospital provision. For the COVID period there is a national contract for use of Independent Sector hospitals.</w:t>
      </w:r>
    </w:p>
    <w:p w14:paraId="283E2C2F" w14:textId="77777777" w:rsidR="00221C69" w:rsidRDefault="00221C69" w:rsidP="00626A98">
      <w:pPr>
        <w:pStyle w:val="ListParagraph"/>
        <w:numPr>
          <w:ilvl w:val="0"/>
          <w:numId w:val="15"/>
        </w:numPr>
        <w:spacing w:after="120"/>
        <w:ind w:left="1134" w:hanging="578"/>
        <w:rPr>
          <w:rFonts w:ascii="Arial" w:hAnsi="Arial" w:cs="Arial"/>
        </w:rPr>
      </w:pPr>
      <w:r w:rsidRPr="00483679">
        <w:rPr>
          <w:rFonts w:ascii="Arial" w:hAnsi="Arial" w:cs="Arial"/>
        </w:rPr>
        <w:t>The WAP process still in place for staffing commitments.</w:t>
      </w:r>
    </w:p>
    <w:p w14:paraId="3D81CAEC" w14:textId="77777777" w:rsidR="00221C69" w:rsidRPr="00483679" w:rsidRDefault="00221C69" w:rsidP="00626A98">
      <w:pPr>
        <w:pStyle w:val="ListParagraph"/>
        <w:numPr>
          <w:ilvl w:val="0"/>
          <w:numId w:val="15"/>
        </w:numPr>
        <w:spacing w:after="120"/>
        <w:ind w:left="1134" w:hanging="578"/>
        <w:rPr>
          <w:rFonts w:ascii="Arial" w:hAnsi="Arial" w:cs="Arial"/>
        </w:rPr>
      </w:pPr>
      <w:r w:rsidRPr="00483679">
        <w:rPr>
          <w:rFonts w:ascii="Arial" w:hAnsi="Arial" w:cs="Arial"/>
        </w:rPr>
        <w:lastRenderedPageBreak/>
        <w:t xml:space="preserve">No new revenue business investments should be entered into unless related to Covid-19 or unless approved by </w:t>
      </w:r>
      <w:proofErr w:type="gramStart"/>
      <w:r w:rsidRPr="00483679">
        <w:rPr>
          <w:rFonts w:ascii="Arial" w:hAnsi="Arial" w:cs="Arial"/>
        </w:rPr>
        <w:t>NHSE/I</w:t>
      </w:r>
      <w:proofErr w:type="gramEnd"/>
      <w:r w:rsidRPr="00483679">
        <w:rPr>
          <w:rFonts w:ascii="Arial" w:hAnsi="Arial" w:cs="Arial"/>
        </w:rPr>
        <w:t xml:space="preserve"> as consistent with a previously agreed plan. Therefore there should be no new investments, or implementation of previously approved but not yet started investments, unless directly Covid-19 related, until the end of quarter one.  </w:t>
      </w:r>
    </w:p>
    <w:p w14:paraId="37529DFF" w14:textId="77777777" w:rsidR="00221C69" w:rsidRPr="00483679" w:rsidRDefault="00221C69" w:rsidP="00626A98">
      <w:pPr>
        <w:pStyle w:val="ListParagraph"/>
        <w:numPr>
          <w:ilvl w:val="0"/>
          <w:numId w:val="15"/>
        </w:numPr>
        <w:spacing w:after="120"/>
        <w:ind w:left="1134" w:hanging="578"/>
        <w:rPr>
          <w:rFonts w:ascii="Arial" w:hAnsi="Arial" w:cs="Arial"/>
        </w:rPr>
      </w:pPr>
      <w:r w:rsidRPr="00483679">
        <w:rPr>
          <w:rFonts w:ascii="Arial" w:hAnsi="Arial" w:cs="Arial"/>
        </w:rPr>
        <w:t xml:space="preserve">The COVID 19 period starts on 19 March 2020 and will be determined by </w:t>
      </w:r>
      <w:proofErr w:type="gramStart"/>
      <w:r w:rsidRPr="00483679">
        <w:rPr>
          <w:rFonts w:ascii="Arial" w:hAnsi="Arial" w:cs="Arial"/>
        </w:rPr>
        <w:t>NHSE/I</w:t>
      </w:r>
      <w:proofErr w:type="gramEnd"/>
      <w:r w:rsidR="004649E0">
        <w:rPr>
          <w:rFonts w:ascii="Arial" w:hAnsi="Arial" w:cs="Arial"/>
        </w:rPr>
        <w:t>.</w:t>
      </w:r>
      <w:r w:rsidRPr="00483679">
        <w:rPr>
          <w:rFonts w:ascii="Arial" w:hAnsi="Arial" w:cs="Arial"/>
        </w:rPr>
        <w:t xml:space="preserve"> </w:t>
      </w:r>
    </w:p>
    <w:p w14:paraId="1EF80FD8" w14:textId="77777777" w:rsidR="00E7472F" w:rsidRPr="00483679" w:rsidRDefault="00E7472F" w:rsidP="00626A98">
      <w:pPr>
        <w:spacing w:after="120" w:line="240" w:lineRule="auto"/>
        <w:jc w:val="both"/>
        <w:rPr>
          <w:rFonts w:ascii="Arial" w:hAnsi="Arial" w:cs="Arial"/>
        </w:rPr>
      </w:pPr>
    </w:p>
    <w:p w14:paraId="2D848F70" w14:textId="77777777" w:rsidR="00246FA6" w:rsidRPr="00483679" w:rsidRDefault="00246FA6" w:rsidP="00626A98">
      <w:pPr>
        <w:pStyle w:val="ListParagraph"/>
        <w:numPr>
          <w:ilvl w:val="0"/>
          <w:numId w:val="4"/>
        </w:numPr>
        <w:spacing w:after="120"/>
        <w:ind w:left="567" w:hanging="567"/>
        <w:jc w:val="both"/>
        <w:rPr>
          <w:rFonts w:ascii="Arial" w:hAnsi="Arial" w:cs="Arial"/>
          <w:b/>
          <w:bCs/>
        </w:rPr>
      </w:pPr>
      <w:r w:rsidRPr="00483679">
        <w:rPr>
          <w:rFonts w:ascii="Arial" w:hAnsi="Arial" w:cs="Arial"/>
          <w:b/>
          <w:bCs/>
        </w:rPr>
        <w:t>Expenditure approval</w:t>
      </w:r>
    </w:p>
    <w:p w14:paraId="517F777B" w14:textId="77777777" w:rsidR="00BC5797" w:rsidRPr="00483679" w:rsidRDefault="00BC5797" w:rsidP="00626A98">
      <w:pPr>
        <w:pStyle w:val="ListParagraph"/>
        <w:numPr>
          <w:ilvl w:val="1"/>
          <w:numId w:val="4"/>
        </w:numPr>
        <w:spacing w:after="240"/>
        <w:ind w:left="567" w:hanging="567"/>
        <w:jc w:val="both"/>
        <w:rPr>
          <w:rFonts w:ascii="Arial" w:hAnsi="Arial" w:cs="Arial"/>
          <w:b/>
          <w:bCs/>
        </w:rPr>
      </w:pPr>
      <w:r w:rsidRPr="00483679">
        <w:rPr>
          <w:rFonts w:ascii="Arial" w:hAnsi="Arial" w:cs="Arial"/>
          <w:b/>
          <w:bCs/>
        </w:rPr>
        <w:t>Expenditure Limits</w:t>
      </w:r>
    </w:p>
    <w:p w14:paraId="7AD2C0B6" w14:textId="724F87B1" w:rsidR="00A75711" w:rsidRDefault="00E43329" w:rsidP="002002C6">
      <w:pPr>
        <w:spacing w:after="120" w:line="240" w:lineRule="auto"/>
        <w:ind w:left="567"/>
        <w:jc w:val="both"/>
        <w:rPr>
          <w:rFonts w:ascii="Arial" w:hAnsi="Arial" w:cs="Arial"/>
        </w:rPr>
      </w:pPr>
      <w:r w:rsidRPr="00483679">
        <w:rPr>
          <w:rFonts w:ascii="Arial" w:hAnsi="Arial" w:cs="Arial"/>
        </w:rPr>
        <w:t xml:space="preserve">All key decisions in relation to the </w:t>
      </w:r>
      <w:r w:rsidR="00516D86" w:rsidRPr="00483679">
        <w:rPr>
          <w:rFonts w:ascii="Arial" w:hAnsi="Arial" w:cs="Arial"/>
        </w:rPr>
        <w:t xml:space="preserve">CCGs </w:t>
      </w:r>
      <w:r w:rsidRPr="00483679">
        <w:rPr>
          <w:rFonts w:ascii="Arial" w:hAnsi="Arial" w:cs="Arial"/>
        </w:rPr>
        <w:t xml:space="preserve">response to COVID-19 should be made within the </w:t>
      </w:r>
      <w:r w:rsidR="00FB6BE3" w:rsidRPr="00483679">
        <w:rPr>
          <w:rFonts w:ascii="Arial" w:hAnsi="Arial" w:cs="Arial"/>
        </w:rPr>
        <w:t>8</w:t>
      </w:r>
      <w:r w:rsidR="00516D86" w:rsidRPr="00483679">
        <w:rPr>
          <w:rFonts w:ascii="Arial" w:hAnsi="Arial" w:cs="Arial"/>
        </w:rPr>
        <w:t xml:space="preserve"> </w:t>
      </w:r>
      <w:r w:rsidRPr="00483679">
        <w:rPr>
          <w:rFonts w:ascii="Arial" w:hAnsi="Arial" w:cs="Arial"/>
        </w:rPr>
        <w:t>workstreams</w:t>
      </w:r>
      <w:r w:rsidR="00F07A23" w:rsidRPr="00483679">
        <w:rPr>
          <w:rFonts w:ascii="Arial" w:hAnsi="Arial" w:cs="Arial"/>
        </w:rPr>
        <w:t xml:space="preserve"> (see below) </w:t>
      </w:r>
      <w:r w:rsidR="00FB6BE3" w:rsidRPr="00483679">
        <w:rPr>
          <w:rFonts w:ascii="Arial" w:hAnsi="Arial" w:cs="Arial"/>
        </w:rPr>
        <w:t xml:space="preserve">and </w:t>
      </w:r>
      <w:r w:rsidRPr="00483679">
        <w:rPr>
          <w:rFonts w:ascii="Arial" w:hAnsi="Arial" w:cs="Arial"/>
        </w:rPr>
        <w:t xml:space="preserve">the </w:t>
      </w:r>
      <w:r w:rsidR="00516D86" w:rsidRPr="00483679">
        <w:rPr>
          <w:rFonts w:ascii="Arial" w:hAnsi="Arial" w:cs="Arial"/>
        </w:rPr>
        <w:t>NCL CCG Gold Leadership Group</w:t>
      </w:r>
      <w:r w:rsidRPr="00483679">
        <w:rPr>
          <w:rFonts w:ascii="Arial" w:hAnsi="Arial" w:cs="Arial"/>
        </w:rPr>
        <w:t>.</w:t>
      </w:r>
      <w:r w:rsidR="0013295E" w:rsidRPr="00483679">
        <w:rPr>
          <w:rFonts w:ascii="Arial" w:hAnsi="Arial" w:cs="Arial"/>
        </w:rPr>
        <w:t xml:space="preserve"> </w:t>
      </w:r>
      <w:r w:rsidR="00311915">
        <w:rPr>
          <w:rFonts w:ascii="Arial" w:hAnsi="Arial" w:cs="Arial"/>
        </w:rPr>
        <w:t xml:space="preserve"> </w:t>
      </w:r>
      <w:r w:rsidR="00F07A23" w:rsidRPr="00483679">
        <w:rPr>
          <w:rFonts w:ascii="Arial" w:hAnsi="Arial" w:cs="Arial"/>
        </w:rPr>
        <w:t>Workstreams</w:t>
      </w:r>
      <w:r w:rsidR="00626A98">
        <w:rPr>
          <w:rFonts w:ascii="Arial" w:hAnsi="Arial" w:cs="Arial"/>
        </w:rPr>
        <w:t xml:space="preserve"> are listed below</w:t>
      </w:r>
      <w:r w:rsidR="00F07A23" w:rsidRPr="00483679">
        <w:rPr>
          <w:rFonts w:ascii="Arial" w:hAnsi="Arial" w:cs="Arial"/>
        </w:rPr>
        <w:t>:</w:t>
      </w:r>
    </w:p>
    <w:p w14:paraId="70158E6E" w14:textId="77777777" w:rsidR="002002C6" w:rsidRDefault="002002C6" w:rsidP="002002C6">
      <w:pPr>
        <w:spacing w:after="120" w:line="240" w:lineRule="auto"/>
        <w:ind w:left="567"/>
        <w:jc w:val="both"/>
        <w:rPr>
          <w:rFonts w:ascii="Arial" w:hAnsi="Arial" w:cs="Arial"/>
        </w:rPr>
      </w:pPr>
    </w:p>
    <w:tbl>
      <w:tblPr>
        <w:tblStyle w:val="TableGrid"/>
        <w:tblW w:w="10632" w:type="dxa"/>
        <w:tblInd w:w="-289" w:type="dxa"/>
        <w:tblLook w:val="04A0" w:firstRow="1" w:lastRow="0" w:firstColumn="1" w:lastColumn="0" w:noHBand="0" w:noVBand="1"/>
      </w:tblPr>
      <w:tblGrid>
        <w:gridCol w:w="421"/>
        <w:gridCol w:w="2840"/>
        <w:gridCol w:w="2552"/>
        <w:gridCol w:w="4819"/>
      </w:tblGrid>
      <w:tr w:rsidR="00A336B4" w:rsidRPr="00822C0D" w14:paraId="3E3D04D1" w14:textId="77777777" w:rsidTr="00822C0D">
        <w:trPr>
          <w:trHeight w:val="567"/>
        </w:trPr>
        <w:tc>
          <w:tcPr>
            <w:tcW w:w="421" w:type="dxa"/>
            <w:shd w:val="clear" w:color="auto" w:fill="B4C6E7" w:themeFill="accent1" w:themeFillTint="66"/>
            <w:vAlign w:val="center"/>
          </w:tcPr>
          <w:p w14:paraId="0237FDEE" w14:textId="77777777" w:rsidR="00A336B4" w:rsidRPr="00822C0D" w:rsidRDefault="00A336B4" w:rsidP="007F1FBD">
            <w:pPr>
              <w:rPr>
                <w:rFonts w:ascii="Arial" w:hAnsi="Arial" w:cs="Arial"/>
                <w:b/>
                <w:sz w:val="20"/>
                <w:szCs w:val="20"/>
              </w:rPr>
            </w:pPr>
          </w:p>
        </w:tc>
        <w:tc>
          <w:tcPr>
            <w:tcW w:w="2840" w:type="dxa"/>
            <w:shd w:val="clear" w:color="auto" w:fill="B4C6E7" w:themeFill="accent1" w:themeFillTint="66"/>
            <w:vAlign w:val="center"/>
          </w:tcPr>
          <w:p w14:paraId="39155805" w14:textId="77777777" w:rsidR="00A336B4" w:rsidRPr="00822C0D" w:rsidRDefault="007F1FBD" w:rsidP="007F1FBD">
            <w:pPr>
              <w:rPr>
                <w:rFonts w:ascii="Arial" w:hAnsi="Arial" w:cs="Arial"/>
                <w:b/>
                <w:sz w:val="20"/>
                <w:szCs w:val="20"/>
              </w:rPr>
            </w:pPr>
            <w:r w:rsidRPr="00822C0D">
              <w:rPr>
                <w:rFonts w:ascii="Arial" w:hAnsi="Arial" w:cs="Arial"/>
                <w:b/>
                <w:sz w:val="20"/>
                <w:szCs w:val="20"/>
              </w:rPr>
              <w:t>Workstream</w:t>
            </w:r>
          </w:p>
        </w:tc>
        <w:tc>
          <w:tcPr>
            <w:tcW w:w="2552" w:type="dxa"/>
            <w:shd w:val="clear" w:color="auto" w:fill="B4C6E7" w:themeFill="accent1" w:themeFillTint="66"/>
            <w:vAlign w:val="center"/>
          </w:tcPr>
          <w:p w14:paraId="02DE9961" w14:textId="77777777" w:rsidR="00A336B4" w:rsidRPr="00822C0D" w:rsidRDefault="007F1FBD" w:rsidP="007F1FBD">
            <w:pPr>
              <w:rPr>
                <w:rFonts w:ascii="Arial" w:hAnsi="Arial" w:cs="Arial"/>
                <w:b/>
                <w:sz w:val="20"/>
                <w:szCs w:val="20"/>
              </w:rPr>
            </w:pPr>
            <w:r w:rsidRPr="00822C0D">
              <w:rPr>
                <w:rFonts w:ascii="Arial" w:hAnsi="Arial" w:cs="Arial"/>
                <w:b/>
                <w:sz w:val="20"/>
                <w:szCs w:val="20"/>
              </w:rPr>
              <w:t>Lead</w:t>
            </w:r>
          </w:p>
        </w:tc>
        <w:tc>
          <w:tcPr>
            <w:tcW w:w="4819" w:type="dxa"/>
            <w:shd w:val="clear" w:color="auto" w:fill="B4C6E7" w:themeFill="accent1" w:themeFillTint="66"/>
            <w:vAlign w:val="center"/>
          </w:tcPr>
          <w:p w14:paraId="30AED563" w14:textId="77777777" w:rsidR="00A336B4" w:rsidRPr="00822C0D" w:rsidRDefault="007F1FBD" w:rsidP="007F1FBD">
            <w:pPr>
              <w:rPr>
                <w:rFonts w:ascii="Arial" w:hAnsi="Arial" w:cs="Arial"/>
                <w:b/>
                <w:sz w:val="20"/>
                <w:szCs w:val="20"/>
              </w:rPr>
            </w:pPr>
            <w:r w:rsidRPr="00822C0D">
              <w:rPr>
                <w:rFonts w:ascii="Arial" w:hAnsi="Arial" w:cs="Arial"/>
                <w:b/>
                <w:sz w:val="20"/>
                <w:szCs w:val="20"/>
              </w:rPr>
              <w:t>Title</w:t>
            </w:r>
          </w:p>
        </w:tc>
      </w:tr>
      <w:tr w:rsidR="00A336B4" w:rsidRPr="00822C0D" w14:paraId="413B20EA" w14:textId="77777777" w:rsidTr="00822C0D">
        <w:trPr>
          <w:trHeight w:val="567"/>
        </w:trPr>
        <w:tc>
          <w:tcPr>
            <w:tcW w:w="421" w:type="dxa"/>
            <w:vAlign w:val="center"/>
          </w:tcPr>
          <w:p w14:paraId="45EEAC34" w14:textId="77777777" w:rsidR="00A336B4" w:rsidRPr="00822C0D" w:rsidRDefault="00A336B4" w:rsidP="007F1FBD">
            <w:pPr>
              <w:pStyle w:val="ListParagraph"/>
              <w:numPr>
                <w:ilvl w:val="0"/>
                <w:numId w:val="21"/>
              </w:numPr>
              <w:rPr>
                <w:rFonts w:ascii="Arial" w:hAnsi="Arial" w:cs="Arial"/>
                <w:sz w:val="20"/>
                <w:szCs w:val="20"/>
              </w:rPr>
            </w:pPr>
          </w:p>
        </w:tc>
        <w:tc>
          <w:tcPr>
            <w:tcW w:w="2840" w:type="dxa"/>
            <w:vAlign w:val="center"/>
          </w:tcPr>
          <w:p w14:paraId="70511E67" w14:textId="77777777" w:rsidR="00A336B4" w:rsidRPr="00822C0D" w:rsidRDefault="00A336B4" w:rsidP="007F1FBD">
            <w:pPr>
              <w:rPr>
                <w:rFonts w:ascii="Arial" w:hAnsi="Arial" w:cs="Arial"/>
                <w:sz w:val="20"/>
                <w:szCs w:val="20"/>
              </w:rPr>
            </w:pPr>
            <w:r w:rsidRPr="00822C0D">
              <w:rPr>
                <w:rFonts w:ascii="Arial" w:hAnsi="Arial" w:cs="Arial"/>
                <w:sz w:val="20"/>
                <w:szCs w:val="20"/>
              </w:rPr>
              <w:t>Clinical Quality</w:t>
            </w:r>
          </w:p>
        </w:tc>
        <w:tc>
          <w:tcPr>
            <w:tcW w:w="2552" w:type="dxa"/>
            <w:vAlign w:val="center"/>
          </w:tcPr>
          <w:p w14:paraId="73085B9D" w14:textId="77777777" w:rsidR="00A336B4" w:rsidRPr="00822C0D" w:rsidRDefault="00A336B4" w:rsidP="007F1FBD">
            <w:pPr>
              <w:rPr>
                <w:rFonts w:ascii="Arial" w:hAnsi="Arial" w:cs="Arial"/>
                <w:sz w:val="20"/>
                <w:szCs w:val="20"/>
              </w:rPr>
            </w:pPr>
            <w:r w:rsidRPr="00822C0D">
              <w:rPr>
                <w:rFonts w:ascii="Arial" w:hAnsi="Arial" w:cs="Arial"/>
                <w:sz w:val="20"/>
                <w:szCs w:val="20"/>
              </w:rPr>
              <w:t>Kay Matthews</w:t>
            </w:r>
          </w:p>
        </w:tc>
        <w:tc>
          <w:tcPr>
            <w:tcW w:w="4819" w:type="dxa"/>
            <w:vAlign w:val="center"/>
          </w:tcPr>
          <w:p w14:paraId="22AF7C2A" w14:textId="77777777" w:rsidR="00A336B4" w:rsidRPr="00822C0D" w:rsidRDefault="007F1FBD" w:rsidP="007F1FBD">
            <w:pPr>
              <w:rPr>
                <w:rFonts w:ascii="Arial" w:hAnsi="Arial" w:cs="Arial"/>
                <w:sz w:val="20"/>
                <w:szCs w:val="20"/>
              </w:rPr>
            </w:pPr>
            <w:r w:rsidRPr="00822C0D">
              <w:rPr>
                <w:rFonts w:ascii="Arial" w:hAnsi="Arial" w:cs="Arial"/>
                <w:sz w:val="20"/>
                <w:szCs w:val="20"/>
              </w:rPr>
              <w:t>Executive Managing Director: Barnet</w:t>
            </w:r>
          </w:p>
        </w:tc>
      </w:tr>
      <w:tr w:rsidR="00311915" w:rsidRPr="00822C0D" w14:paraId="5AEC515B" w14:textId="77777777" w:rsidTr="00822C0D">
        <w:trPr>
          <w:trHeight w:val="567"/>
        </w:trPr>
        <w:tc>
          <w:tcPr>
            <w:tcW w:w="421" w:type="dxa"/>
            <w:vAlign w:val="center"/>
          </w:tcPr>
          <w:p w14:paraId="146A79B1" w14:textId="77777777" w:rsidR="00311915" w:rsidRPr="00822C0D" w:rsidRDefault="00311915" w:rsidP="00311915">
            <w:pPr>
              <w:pStyle w:val="ListParagraph"/>
              <w:numPr>
                <w:ilvl w:val="0"/>
                <w:numId w:val="21"/>
              </w:numPr>
              <w:rPr>
                <w:rFonts w:ascii="Arial" w:hAnsi="Arial" w:cs="Arial"/>
                <w:sz w:val="20"/>
                <w:szCs w:val="20"/>
              </w:rPr>
            </w:pPr>
          </w:p>
        </w:tc>
        <w:tc>
          <w:tcPr>
            <w:tcW w:w="2840" w:type="dxa"/>
            <w:vAlign w:val="center"/>
          </w:tcPr>
          <w:p w14:paraId="53CB361E" w14:textId="77777777" w:rsidR="00311915" w:rsidRPr="00822C0D" w:rsidRDefault="00311915" w:rsidP="00311915">
            <w:pPr>
              <w:rPr>
                <w:rFonts w:ascii="Arial" w:hAnsi="Arial" w:cs="Arial"/>
                <w:sz w:val="20"/>
                <w:szCs w:val="20"/>
              </w:rPr>
            </w:pPr>
            <w:r w:rsidRPr="00822C0D">
              <w:rPr>
                <w:rFonts w:ascii="Arial" w:hAnsi="Arial" w:cs="Arial"/>
                <w:sz w:val="20"/>
                <w:szCs w:val="20"/>
              </w:rPr>
              <w:t xml:space="preserve">Comms &amp; Engagement </w:t>
            </w:r>
          </w:p>
        </w:tc>
        <w:tc>
          <w:tcPr>
            <w:tcW w:w="2552" w:type="dxa"/>
            <w:vAlign w:val="center"/>
          </w:tcPr>
          <w:p w14:paraId="35E80D4B" w14:textId="77777777" w:rsidR="00311915" w:rsidRPr="00822C0D" w:rsidRDefault="00311915" w:rsidP="00311915">
            <w:pPr>
              <w:rPr>
                <w:rFonts w:ascii="Arial" w:hAnsi="Arial" w:cs="Arial"/>
                <w:sz w:val="20"/>
                <w:szCs w:val="20"/>
              </w:rPr>
            </w:pPr>
            <w:r w:rsidRPr="00822C0D">
              <w:rPr>
                <w:rFonts w:ascii="Arial" w:hAnsi="Arial" w:cs="Arial"/>
                <w:sz w:val="20"/>
                <w:szCs w:val="20"/>
              </w:rPr>
              <w:t>Ian Porter</w:t>
            </w:r>
          </w:p>
        </w:tc>
        <w:tc>
          <w:tcPr>
            <w:tcW w:w="4819" w:type="dxa"/>
            <w:vAlign w:val="center"/>
          </w:tcPr>
          <w:p w14:paraId="2252BB68" w14:textId="77777777" w:rsidR="00311915" w:rsidRPr="00822C0D" w:rsidRDefault="00311915" w:rsidP="00311915">
            <w:pPr>
              <w:rPr>
                <w:rFonts w:ascii="Arial" w:hAnsi="Arial" w:cs="Arial"/>
                <w:sz w:val="20"/>
                <w:szCs w:val="20"/>
              </w:rPr>
            </w:pPr>
            <w:r w:rsidRPr="00822C0D">
              <w:rPr>
                <w:rFonts w:ascii="Arial" w:hAnsi="Arial" w:cs="Arial"/>
                <w:sz w:val="20"/>
                <w:szCs w:val="20"/>
              </w:rPr>
              <w:t>Executive Director of Corporate Services</w:t>
            </w:r>
          </w:p>
        </w:tc>
      </w:tr>
      <w:tr w:rsidR="00311915" w:rsidRPr="00822C0D" w14:paraId="400A0FEA" w14:textId="77777777" w:rsidTr="00822C0D">
        <w:trPr>
          <w:trHeight w:val="567"/>
        </w:trPr>
        <w:tc>
          <w:tcPr>
            <w:tcW w:w="421" w:type="dxa"/>
            <w:vAlign w:val="center"/>
          </w:tcPr>
          <w:p w14:paraId="36FA0253" w14:textId="77777777" w:rsidR="00311915" w:rsidRPr="00822C0D" w:rsidRDefault="00311915" w:rsidP="00311915">
            <w:pPr>
              <w:pStyle w:val="ListParagraph"/>
              <w:numPr>
                <w:ilvl w:val="0"/>
                <w:numId w:val="21"/>
              </w:numPr>
              <w:rPr>
                <w:rFonts w:ascii="Arial" w:hAnsi="Arial" w:cs="Arial"/>
                <w:sz w:val="20"/>
                <w:szCs w:val="20"/>
              </w:rPr>
            </w:pPr>
          </w:p>
        </w:tc>
        <w:tc>
          <w:tcPr>
            <w:tcW w:w="2840" w:type="dxa"/>
            <w:vAlign w:val="center"/>
          </w:tcPr>
          <w:p w14:paraId="30380411" w14:textId="77777777" w:rsidR="00311915" w:rsidRPr="00822C0D" w:rsidRDefault="00311915" w:rsidP="00311915">
            <w:pPr>
              <w:rPr>
                <w:rFonts w:ascii="Arial" w:hAnsi="Arial" w:cs="Arial"/>
                <w:sz w:val="20"/>
                <w:szCs w:val="20"/>
              </w:rPr>
            </w:pPr>
            <w:r w:rsidRPr="00822C0D">
              <w:rPr>
                <w:rFonts w:ascii="Arial" w:hAnsi="Arial" w:cs="Arial"/>
                <w:sz w:val="20"/>
                <w:szCs w:val="20"/>
              </w:rPr>
              <w:t>Corporate Governance</w:t>
            </w:r>
          </w:p>
        </w:tc>
        <w:tc>
          <w:tcPr>
            <w:tcW w:w="2552" w:type="dxa"/>
            <w:vAlign w:val="center"/>
          </w:tcPr>
          <w:p w14:paraId="7000D8D0" w14:textId="77777777" w:rsidR="00311915" w:rsidRPr="00822C0D" w:rsidRDefault="00311915" w:rsidP="00311915">
            <w:pPr>
              <w:rPr>
                <w:rFonts w:ascii="Arial" w:hAnsi="Arial" w:cs="Arial"/>
                <w:sz w:val="20"/>
                <w:szCs w:val="20"/>
              </w:rPr>
            </w:pPr>
            <w:r w:rsidRPr="00822C0D">
              <w:rPr>
                <w:rFonts w:ascii="Arial" w:hAnsi="Arial" w:cs="Arial"/>
                <w:sz w:val="20"/>
                <w:szCs w:val="20"/>
              </w:rPr>
              <w:t>Ian Porter</w:t>
            </w:r>
          </w:p>
        </w:tc>
        <w:tc>
          <w:tcPr>
            <w:tcW w:w="4819" w:type="dxa"/>
            <w:vAlign w:val="center"/>
          </w:tcPr>
          <w:p w14:paraId="6B8A9F31" w14:textId="77777777" w:rsidR="00311915" w:rsidRPr="00822C0D" w:rsidRDefault="00311915" w:rsidP="00311915">
            <w:pPr>
              <w:rPr>
                <w:rFonts w:ascii="Arial" w:hAnsi="Arial" w:cs="Arial"/>
                <w:sz w:val="20"/>
                <w:szCs w:val="20"/>
              </w:rPr>
            </w:pPr>
            <w:r w:rsidRPr="00822C0D">
              <w:rPr>
                <w:rFonts w:ascii="Arial" w:hAnsi="Arial" w:cs="Arial"/>
                <w:sz w:val="20"/>
                <w:szCs w:val="20"/>
              </w:rPr>
              <w:t>Executive Director of Corporate Services</w:t>
            </w:r>
          </w:p>
        </w:tc>
      </w:tr>
      <w:tr w:rsidR="00A336B4" w:rsidRPr="00822C0D" w14:paraId="59BEBA04" w14:textId="77777777" w:rsidTr="00822C0D">
        <w:trPr>
          <w:trHeight w:val="567"/>
        </w:trPr>
        <w:tc>
          <w:tcPr>
            <w:tcW w:w="421" w:type="dxa"/>
            <w:vAlign w:val="center"/>
          </w:tcPr>
          <w:p w14:paraId="5D115A40" w14:textId="77777777" w:rsidR="00A336B4" w:rsidRPr="00822C0D" w:rsidRDefault="00A336B4" w:rsidP="007F1FBD">
            <w:pPr>
              <w:pStyle w:val="ListParagraph"/>
              <w:numPr>
                <w:ilvl w:val="0"/>
                <w:numId w:val="21"/>
              </w:numPr>
              <w:rPr>
                <w:rFonts w:ascii="Arial" w:hAnsi="Arial" w:cs="Arial"/>
                <w:sz w:val="20"/>
                <w:szCs w:val="20"/>
              </w:rPr>
            </w:pPr>
          </w:p>
        </w:tc>
        <w:tc>
          <w:tcPr>
            <w:tcW w:w="2840" w:type="dxa"/>
            <w:vAlign w:val="center"/>
          </w:tcPr>
          <w:p w14:paraId="7DC025B5" w14:textId="77777777" w:rsidR="00A336B4" w:rsidRPr="00822C0D" w:rsidRDefault="00A336B4" w:rsidP="007F1FBD">
            <w:pPr>
              <w:rPr>
                <w:rFonts w:ascii="Arial" w:hAnsi="Arial" w:cs="Arial"/>
                <w:sz w:val="20"/>
                <w:szCs w:val="20"/>
              </w:rPr>
            </w:pPr>
            <w:r w:rsidRPr="00822C0D">
              <w:rPr>
                <w:rFonts w:ascii="Arial" w:hAnsi="Arial" w:cs="Arial"/>
                <w:sz w:val="20"/>
                <w:szCs w:val="20"/>
              </w:rPr>
              <w:t>Finance</w:t>
            </w:r>
          </w:p>
        </w:tc>
        <w:tc>
          <w:tcPr>
            <w:tcW w:w="2552" w:type="dxa"/>
            <w:vAlign w:val="center"/>
          </w:tcPr>
          <w:p w14:paraId="4F739680" w14:textId="77777777" w:rsidR="00A336B4" w:rsidRPr="00822C0D" w:rsidRDefault="00A336B4" w:rsidP="007F1FBD">
            <w:pPr>
              <w:rPr>
                <w:rFonts w:ascii="Arial" w:hAnsi="Arial" w:cs="Arial"/>
                <w:sz w:val="20"/>
                <w:szCs w:val="20"/>
              </w:rPr>
            </w:pPr>
            <w:r w:rsidRPr="00822C0D">
              <w:rPr>
                <w:rFonts w:ascii="Arial" w:hAnsi="Arial" w:cs="Arial"/>
                <w:sz w:val="20"/>
                <w:szCs w:val="20"/>
              </w:rPr>
              <w:t>Simon Goodwin</w:t>
            </w:r>
          </w:p>
        </w:tc>
        <w:tc>
          <w:tcPr>
            <w:tcW w:w="4819" w:type="dxa"/>
            <w:vAlign w:val="center"/>
          </w:tcPr>
          <w:p w14:paraId="20618F2F" w14:textId="77777777" w:rsidR="00A336B4" w:rsidRPr="00822C0D" w:rsidRDefault="007F1FBD" w:rsidP="007F1FBD">
            <w:pPr>
              <w:rPr>
                <w:rFonts w:ascii="Arial" w:hAnsi="Arial" w:cs="Arial"/>
                <w:sz w:val="20"/>
                <w:szCs w:val="20"/>
              </w:rPr>
            </w:pPr>
            <w:r w:rsidRPr="00822C0D">
              <w:rPr>
                <w:rFonts w:ascii="Arial" w:hAnsi="Arial" w:cs="Arial"/>
                <w:sz w:val="20"/>
                <w:szCs w:val="20"/>
              </w:rPr>
              <w:t>Chief Finance Officer</w:t>
            </w:r>
          </w:p>
        </w:tc>
      </w:tr>
      <w:tr w:rsidR="00311915" w:rsidRPr="00822C0D" w14:paraId="6D4648E9" w14:textId="77777777" w:rsidTr="00822C0D">
        <w:trPr>
          <w:trHeight w:val="567"/>
        </w:trPr>
        <w:tc>
          <w:tcPr>
            <w:tcW w:w="421" w:type="dxa"/>
            <w:vAlign w:val="center"/>
          </w:tcPr>
          <w:p w14:paraId="04F31149" w14:textId="77777777" w:rsidR="00311915" w:rsidRPr="00822C0D" w:rsidRDefault="00311915" w:rsidP="00311915">
            <w:pPr>
              <w:pStyle w:val="ListParagraph"/>
              <w:numPr>
                <w:ilvl w:val="0"/>
                <w:numId w:val="21"/>
              </w:numPr>
              <w:rPr>
                <w:rFonts w:ascii="Arial" w:hAnsi="Arial" w:cs="Arial"/>
                <w:sz w:val="20"/>
                <w:szCs w:val="20"/>
              </w:rPr>
            </w:pPr>
          </w:p>
        </w:tc>
        <w:tc>
          <w:tcPr>
            <w:tcW w:w="2840" w:type="dxa"/>
            <w:vAlign w:val="center"/>
          </w:tcPr>
          <w:p w14:paraId="7BEACB39" w14:textId="77777777" w:rsidR="00311915" w:rsidRPr="00822C0D" w:rsidRDefault="00311915" w:rsidP="00311915">
            <w:pPr>
              <w:rPr>
                <w:rFonts w:ascii="Arial" w:hAnsi="Arial" w:cs="Arial"/>
                <w:sz w:val="20"/>
                <w:szCs w:val="20"/>
              </w:rPr>
            </w:pPr>
            <w:r w:rsidRPr="00822C0D">
              <w:rPr>
                <w:rFonts w:ascii="Arial" w:hAnsi="Arial" w:cs="Arial"/>
                <w:sz w:val="20"/>
                <w:szCs w:val="20"/>
              </w:rPr>
              <w:t>NCL CCG Gold</w:t>
            </w:r>
          </w:p>
        </w:tc>
        <w:tc>
          <w:tcPr>
            <w:tcW w:w="2552" w:type="dxa"/>
            <w:vAlign w:val="center"/>
          </w:tcPr>
          <w:p w14:paraId="79834243" w14:textId="77777777" w:rsidR="00311915" w:rsidRPr="00822C0D" w:rsidRDefault="00311915" w:rsidP="00311915">
            <w:pPr>
              <w:rPr>
                <w:rFonts w:ascii="Arial" w:hAnsi="Arial" w:cs="Arial"/>
                <w:sz w:val="20"/>
                <w:szCs w:val="20"/>
              </w:rPr>
            </w:pPr>
            <w:r w:rsidRPr="00822C0D">
              <w:rPr>
                <w:rFonts w:ascii="Arial" w:hAnsi="Arial" w:cs="Arial"/>
                <w:sz w:val="20"/>
                <w:szCs w:val="20"/>
              </w:rPr>
              <w:t>Frances O’Callaghan</w:t>
            </w:r>
          </w:p>
        </w:tc>
        <w:tc>
          <w:tcPr>
            <w:tcW w:w="4819" w:type="dxa"/>
            <w:vAlign w:val="center"/>
          </w:tcPr>
          <w:p w14:paraId="3B920E95" w14:textId="77777777" w:rsidR="00311915" w:rsidRPr="00822C0D" w:rsidRDefault="00311915" w:rsidP="00311915">
            <w:pPr>
              <w:rPr>
                <w:rFonts w:ascii="Arial" w:hAnsi="Arial" w:cs="Arial"/>
                <w:sz w:val="20"/>
                <w:szCs w:val="20"/>
              </w:rPr>
            </w:pPr>
            <w:r>
              <w:rPr>
                <w:rFonts w:ascii="Arial" w:hAnsi="Arial" w:cs="Arial"/>
                <w:sz w:val="20"/>
                <w:szCs w:val="20"/>
              </w:rPr>
              <w:t>NCL CCG Accountable Officer</w:t>
            </w:r>
          </w:p>
        </w:tc>
      </w:tr>
      <w:tr w:rsidR="00311915" w:rsidRPr="00822C0D" w14:paraId="14507E28" w14:textId="77777777" w:rsidTr="00822C0D">
        <w:trPr>
          <w:trHeight w:val="567"/>
        </w:trPr>
        <w:tc>
          <w:tcPr>
            <w:tcW w:w="421" w:type="dxa"/>
            <w:vAlign w:val="center"/>
          </w:tcPr>
          <w:p w14:paraId="3C680A3B" w14:textId="77777777" w:rsidR="00311915" w:rsidRPr="00822C0D" w:rsidRDefault="00311915" w:rsidP="00311915">
            <w:pPr>
              <w:pStyle w:val="ListParagraph"/>
              <w:numPr>
                <w:ilvl w:val="0"/>
                <w:numId w:val="21"/>
              </w:numPr>
              <w:rPr>
                <w:rFonts w:ascii="Arial" w:hAnsi="Arial" w:cs="Arial"/>
                <w:sz w:val="20"/>
                <w:szCs w:val="20"/>
              </w:rPr>
            </w:pPr>
          </w:p>
        </w:tc>
        <w:tc>
          <w:tcPr>
            <w:tcW w:w="2840" w:type="dxa"/>
            <w:vAlign w:val="center"/>
          </w:tcPr>
          <w:p w14:paraId="7E5D4F5F" w14:textId="77777777" w:rsidR="00311915" w:rsidRPr="00822C0D" w:rsidRDefault="00311915" w:rsidP="00311915">
            <w:pPr>
              <w:rPr>
                <w:rFonts w:ascii="Arial" w:hAnsi="Arial" w:cs="Arial"/>
                <w:sz w:val="20"/>
                <w:szCs w:val="20"/>
              </w:rPr>
            </w:pPr>
            <w:r w:rsidRPr="00822C0D">
              <w:rPr>
                <w:rFonts w:ascii="Arial" w:hAnsi="Arial" w:cs="Arial"/>
                <w:sz w:val="20"/>
                <w:szCs w:val="20"/>
              </w:rPr>
              <w:t>Primary Care</w:t>
            </w:r>
          </w:p>
        </w:tc>
        <w:tc>
          <w:tcPr>
            <w:tcW w:w="2552" w:type="dxa"/>
            <w:vAlign w:val="center"/>
          </w:tcPr>
          <w:p w14:paraId="5CBAFCD3" w14:textId="77777777" w:rsidR="00311915" w:rsidRPr="00822C0D" w:rsidRDefault="00311915" w:rsidP="00311915">
            <w:pPr>
              <w:rPr>
                <w:rFonts w:ascii="Arial" w:hAnsi="Arial" w:cs="Arial"/>
                <w:sz w:val="20"/>
                <w:szCs w:val="20"/>
              </w:rPr>
            </w:pPr>
            <w:r w:rsidRPr="00822C0D">
              <w:rPr>
                <w:rFonts w:ascii="Arial" w:hAnsi="Arial" w:cs="Arial"/>
                <w:sz w:val="20"/>
                <w:szCs w:val="20"/>
              </w:rPr>
              <w:t>Tony Hoolaghan</w:t>
            </w:r>
          </w:p>
          <w:p w14:paraId="0C821AAC" w14:textId="77777777" w:rsidR="00311915" w:rsidRPr="00822C0D" w:rsidRDefault="00311915" w:rsidP="00311915">
            <w:pPr>
              <w:rPr>
                <w:rFonts w:ascii="Arial" w:hAnsi="Arial" w:cs="Arial"/>
                <w:sz w:val="20"/>
                <w:szCs w:val="20"/>
              </w:rPr>
            </w:pPr>
            <w:r w:rsidRPr="00822C0D">
              <w:rPr>
                <w:rFonts w:ascii="Arial" w:hAnsi="Arial" w:cs="Arial"/>
                <w:sz w:val="20"/>
                <w:szCs w:val="20"/>
              </w:rPr>
              <w:t>Paul Sinden</w:t>
            </w:r>
          </w:p>
        </w:tc>
        <w:tc>
          <w:tcPr>
            <w:tcW w:w="4819" w:type="dxa"/>
            <w:vAlign w:val="center"/>
          </w:tcPr>
          <w:p w14:paraId="76460129" w14:textId="77777777" w:rsidR="00311915" w:rsidRPr="00822C0D" w:rsidRDefault="00311915" w:rsidP="00311915">
            <w:pPr>
              <w:rPr>
                <w:rFonts w:ascii="Arial" w:hAnsi="Arial" w:cs="Arial"/>
                <w:sz w:val="20"/>
                <w:szCs w:val="20"/>
              </w:rPr>
            </w:pPr>
            <w:r w:rsidRPr="00822C0D">
              <w:rPr>
                <w:rFonts w:ascii="Arial" w:hAnsi="Arial" w:cs="Arial"/>
                <w:sz w:val="20"/>
                <w:szCs w:val="20"/>
              </w:rPr>
              <w:t>Executive Managing Director: Haringey &amp; Islington</w:t>
            </w:r>
          </w:p>
          <w:p w14:paraId="76A78970" w14:textId="77777777" w:rsidR="00311915" w:rsidRPr="00822C0D" w:rsidRDefault="00311915" w:rsidP="00311915">
            <w:pPr>
              <w:rPr>
                <w:rFonts w:ascii="Arial" w:hAnsi="Arial" w:cs="Arial"/>
                <w:sz w:val="20"/>
                <w:szCs w:val="20"/>
              </w:rPr>
            </w:pPr>
            <w:r w:rsidRPr="00822C0D">
              <w:rPr>
                <w:rFonts w:ascii="Arial" w:hAnsi="Arial" w:cs="Arial"/>
                <w:sz w:val="20"/>
                <w:szCs w:val="20"/>
              </w:rPr>
              <w:t>Executive Director of Performance &amp; Assurance</w:t>
            </w:r>
          </w:p>
        </w:tc>
      </w:tr>
      <w:tr w:rsidR="00311915" w:rsidRPr="00822C0D" w14:paraId="3E8E136A" w14:textId="77777777" w:rsidTr="00822C0D">
        <w:trPr>
          <w:trHeight w:val="567"/>
        </w:trPr>
        <w:tc>
          <w:tcPr>
            <w:tcW w:w="421" w:type="dxa"/>
            <w:vAlign w:val="center"/>
          </w:tcPr>
          <w:p w14:paraId="6F0490BB" w14:textId="77777777" w:rsidR="00311915" w:rsidRPr="00822C0D" w:rsidRDefault="00311915" w:rsidP="00311915">
            <w:pPr>
              <w:pStyle w:val="ListParagraph"/>
              <w:numPr>
                <w:ilvl w:val="0"/>
                <w:numId w:val="21"/>
              </w:numPr>
              <w:rPr>
                <w:rFonts w:ascii="Arial" w:hAnsi="Arial" w:cs="Arial"/>
                <w:sz w:val="20"/>
                <w:szCs w:val="20"/>
              </w:rPr>
            </w:pPr>
          </w:p>
        </w:tc>
        <w:tc>
          <w:tcPr>
            <w:tcW w:w="2840" w:type="dxa"/>
            <w:vAlign w:val="center"/>
          </w:tcPr>
          <w:p w14:paraId="1D314BB9" w14:textId="77777777" w:rsidR="00311915" w:rsidRPr="00822C0D" w:rsidRDefault="00311915" w:rsidP="00311915">
            <w:pPr>
              <w:rPr>
                <w:rFonts w:ascii="Arial" w:hAnsi="Arial" w:cs="Arial"/>
                <w:sz w:val="20"/>
                <w:szCs w:val="20"/>
              </w:rPr>
            </w:pPr>
            <w:r w:rsidRPr="00822C0D">
              <w:rPr>
                <w:rFonts w:ascii="Arial" w:hAnsi="Arial" w:cs="Arial"/>
                <w:sz w:val="20"/>
                <w:szCs w:val="20"/>
              </w:rPr>
              <w:t>Provider Preparedness</w:t>
            </w:r>
          </w:p>
        </w:tc>
        <w:tc>
          <w:tcPr>
            <w:tcW w:w="2552" w:type="dxa"/>
            <w:vAlign w:val="center"/>
          </w:tcPr>
          <w:p w14:paraId="0732C05E" w14:textId="77777777" w:rsidR="00311915" w:rsidRPr="00822C0D" w:rsidRDefault="00311915" w:rsidP="00311915">
            <w:pPr>
              <w:rPr>
                <w:rFonts w:ascii="Arial" w:hAnsi="Arial" w:cs="Arial"/>
                <w:sz w:val="20"/>
                <w:szCs w:val="20"/>
              </w:rPr>
            </w:pPr>
            <w:r w:rsidRPr="00822C0D">
              <w:rPr>
                <w:rFonts w:ascii="Arial" w:hAnsi="Arial" w:cs="Arial"/>
                <w:sz w:val="20"/>
                <w:szCs w:val="20"/>
              </w:rPr>
              <w:t>Sarah Mansuralli</w:t>
            </w:r>
          </w:p>
          <w:p w14:paraId="410A868D" w14:textId="77777777" w:rsidR="00311915" w:rsidRPr="00822C0D" w:rsidRDefault="00311915" w:rsidP="00311915">
            <w:pPr>
              <w:rPr>
                <w:rFonts w:ascii="Arial" w:hAnsi="Arial" w:cs="Arial"/>
                <w:sz w:val="20"/>
                <w:szCs w:val="20"/>
              </w:rPr>
            </w:pPr>
            <w:r w:rsidRPr="00822C0D">
              <w:rPr>
                <w:rFonts w:ascii="Arial" w:hAnsi="Arial" w:cs="Arial"/>
                <w:sz w:val="20"/>
                <w:szCs w:val="20"/>
              </w:rPr>
              <w:t>Sarah McDonnell Davies</w:t>
            </w:r>
          </w:p>
        </w:tc>
        <w:tc>
          <w:tcPr>
            <w:tcW w:w="4819" w:type="dxa"/>
            <w:vAlign w:val="center"/>
          </w:tcPr>
          <w:p w14:paraId="4BD8B619" w14:textId="77777777" w:rsidR="00311915" w:rsidRDefault="00311915" w:rsidP="00311915">
            <w:pPr>
              <w:rPr>
                <w:rFonts w:ascii="Arial" w:hAnsi="Arial" w:cs="Arial"/>
                <w:sz w:val="20"/>
                <w:szCs w:val="20"/>
              </w:rPr>
            </w:pPr>
            <w:r>
              <w:rPr>
                <w:rFonts w:ascii="Arial" w:hAnsi="Arial" w:cs="Arial"/>
                <w:sz w:val="20"/>
                <w:szCs w:val="20"/>
              </w:rPr>
              <w:t>Executive Director of Strategic Commissioning</w:t>
            </w:r>
          </w:p>
          <w:p w14:paraId="53CEC5FB" w14:textId="77777777" w:rsidR="00311915" w:rsidRPr="00822C0D" w:rsidRDefault="00311915" w:rsidP="00311915">
            <w:pPr>
              <w:rPr>
                <w:rFonts w:ascii="Arial" w:hAnsi="Arial" w:cs="Arial"/>
                <w:sz w:val="20"/>
                <w:szCs w:val="20"/>
              </w:rPr>
            </w:pPr>
            <w:r>
              <w:rPr>
                <w:rFonts w:ascii="Arial" w:hAnsi="Arial" w:cs="Arial"/>
                <w:sz w:val="20"/>
                <w:szCs w:val="20"/>
              </w:rPr>
              <w:t>Executive Managing Director: Camden</w:t>
            </w:r>
          </w:p>
        </w:tc>
      </w:tr>
      <w:tr w:rsidR="00311915" w:rsidRPr="00822C0D" w14:paraId="79CFEE3A" w14:textId="77777777" w:rsidTr="00822C0D">
        <w:trPr>
          <w:trHeight w:val="567"/>
        </w:trPr>
        <w:tc>
          <w:tcPr>
            <w:tcW w:w="421" w:type="dxa"/>
            <w:vAlign w:val="center"/>
          </w:tcPr>
          <w:p w14:paraId="6B8B8C31" w14:textId="77777777" w:rsidR="00311915" w:rsidRPr="00822C0D" w:rsidRDefault="00311915" w:rsidP="00311915">
            <w:pPr>
              <w:pStyle w:val="ListParagraph"/>
              <w:numPr>
                <w:ilvl w:val="0"/>
                <w:numId w:val="21"/>
              </w:numPr>
              <w:rPr>
                <w:rFonts w:ascii="Arial" w:hAnsi="Arial" w:cs="Arial"/>
                <w:sz w:val="20"/>
                <w:szCs w:val="20"/>
              </w:rPr>
            </w:pPr>
          </w:p>
        </w:tc>
        <w:tc>
          <w:tcPr>
            <w:tcW w:w="2840" w:type="dxa"/>
            <w:vAlign w:val="center"/>
          </w:tcPr>
          <w:p w14:paraId="638E26F7" w14:textId="77777777" w:rsidR="00311915" w:rsidRPr="00822C0D" w:rsidRDefault="00311915" w:rsidP="00311915">
            <w:pPr>
              <w:rPr>
                <w:rFonts w:ascii="Arial" w:hAnsi="Arial" w:cs="Arial"/>
                <w:sz w:val="20"/>
                <w:szCs w:val="20"/>
              </w:rPr>
            </w:pPr>
            <w:r w:rsidRPr="00822C0D">
              <w:rPr>
                <w:rFonts w:ascii="Arial" w:hAnsi="Arial" w:cs="Arial"/>
                <w:sz w:val="20"/>
                <w:szCs w:val="20"/>
              </w:rPr>
              <w:t>System Scenario &amp; Planning</w:t>
            </w:r>
          </w:p>
        </w:tc>
        <w:tc>
          <w:tcPr>
            <w:tcW w:w="2552" w:type="dxa"/>
            <w:vAlign w:val="center"/>
          </w:tcPr>
          <w:p w14:paraId="5F79B29C" w14:textId="77777777" w:rsidR="00311915" w:rsidRPr="00822C0D" w:rsidRDefault="00311915" w:rsidP="00311915">
            <w:pPr>
              <w:rPr>
                <w:rFonts w:ascii="Arial" w:hAnsi="Arial" w:cs="Arial"/>
                <w:sz w:val="20"/>
                <w:szCs w:val="20"/>
              </w:rPr>
            </w:pPr>
            <w:r w:rsidRPr="00822C0D">
              <w:rPr>
                <w:rFonts w:ascii="Arial" w:hAnsi="Arial" w:cs="Arial"/>
                <w:sz w:val="20"/>
                <w:szCs w:val="20"/>
              </w:rPr>
              <w:t xml:space="preserve">Will </w:t>
            </w:r>
            <w:proofErr w:type="spellStart"/>
            <w:r w:rsidRPr="00822C0D">
              <w:rPr>
                <w:rFonts w:ascii="Arial" w:hAnsi="Arial" w:cs="Arial"/>
                <w:sz w:val="20"/>
                <w:szCs w:val="20"/>
              </w:rPr>
              <w:t>Huxter</w:t>
            </w:r>
            <w:proofErr w:type="spellEnd"/>
          </w:p>
        </w:tc>
        <w:tc>
          <w:tcPr>
            <w:tcW w:w="4819" w:type="dxa"/>
            <w:vAlign w:val="center"/>
          </w:tcPr>
          <w:p w14:paraId="5AC6058E" w14:textId="77777777" w:rsidR="00311915" w:rsidRDefault="00311915" w:rsidP="00311915">
            <w:pPr>
              <w:rPr>
                <w:rFonts w:ascii="Arial" w:hAnsi="Arial" w:cs="Arial"/>
                <w:sz w:val="20"/>
                <w:szCs w:val="20"/>
              </w:rPr>
            </w:pPr>
            <w:r>
              <w:rPr>
                <w:rFonts w:ascii="Arial" w:hAnsi="Arial" w:cs="Arial"/>
                <w:sz w:val="20"/>
                <w:szCs w:val="20"/>
              </w:rPr>
              <w:t>Executive Director of Strategy</w:t>
            </w:r>
          </w:p>
        </w:tc>
      </w:tr>
      <w:tr w:rsidR="00311915" w:rsidRPr="00822C0D" w14:paraId="7C376D8E" w14:textId="77777777" w:rsidTr="00822C0D">
        <w:trPr>
          <w:trHeight w:val="567"/>
        </w:trPr>
        <w:tc>
          <w:tcPr>
            <w:tcW w:w="421" w:type="dxa"/>
            <w:vAlign w:val="center"/>
          </w:tcPr>
          <w:p w14:paraId="38F31883" w14:textId="77777777" w:rsidR="00311915" w:rsidRPr="00822C0D" w:rsidRDefault="00311915" w:rsidP="00311915">
            <w:pPr>
              <w:pStyle w:val="ListParagraph"/>
              <w:numPr>
                <w:ilvl w:val="0"/>
                <w:numId w:val="21"/>
              </w:numPr>
              <w:rPr>
                <w:rFonts w:ascii="Arial" w:hAnsi="Arial" w:cs="Arial"/>
                <w:sz w:val="20"/>
                <w:szCs w:val="20"/>
              </w:rPr>
            </w:pPr>
          </w:p>
        </w:tc>
        <w:tc>
          <w:tcPr>
            <w:tcW w:w="2840" w:type="dxa"/>
            <w:vAlign w:val="center"/>
          </w:tcPr>
          <w:p w14:paraId="610033BA" w14:textId="77777777" w:rsidR="00311915" w:rsidRPr="00822C0D" w:rsidRDefault="00311915" w:rsidP="00311915">
            <w:pPr>
              <w:rPr>
                <w:rFonts w:ascii="Arial" w:hAnsi="Arial" w:cs="Arial"/>
                <w:sz w:val="20"/>
                <w:szCs w:val="20"/>
              </w:rPr>
            </w:pPr>
            <w:r w:rsidRPr="00822C0D">
              <w:rPr>
                <w:rFonts w:ascii="Arial" w:hAnsi="Arial" w:cs="Arial"/>
                <w:sz w:val="20"/>
                <w:szCs w:val="20"/>
              </w:rPr>
              <w:t>Workforce &amp; HR</w:t>
            </w:r>
          </w:p>
        </w:tc>
        <w:tc>
          <w:tcPr>
            <w:tcW w:w="2552" w:type="dxa"/>
            <w:vAlign w:val="center"/>
          </w:tcPr>
          <w:p w14:paraId="5FCD541D" w14:textId="77777777" w:rsidR="00311915" w:rsidRPr="00822C0D" w:rsidRDefault="00311915" w:rsidP="00311915">
            <w:pPr>
              <w:rPr>
                <w:rFonts w:ascii="Arial" w:hAnsi="Arial" w:cs="Arial"/>
                <w:sz w:val="20"/>
                <w:szCs w:val="20"/>
              </w:rPr>
            </w:pPr>
            <w:r w:rsidRPr="00822C0D">
              <w:rPr>
                <w:rFonts w:ascii="Arial" w:hAnsi="Arial" w:cs="Arial"/>
                <w:sz w:val="20"/>
                <w:szCs w:val="20"/>
              </w:rPr>
              <w:t>Michelle Chadwick</w:t>
            </w:r>
          </w:p>
        </w:tc>
        <w:tc>
          <w:tcPr>
            <w:tcW w:w="4819" w:type="dxa"/>
            <w:vAlign w:val="center"/>
          </w:tcPr>
          <w:p w14:paraId="6320CBCD" w14:textId="01904BAB" w:rsidR="00311915" w:rsidRPr="002002C6" w:rsidRDefault="002002C6" w:rsidP="002002C6">
            <w:pPr>
              <w:rPr>
                <w:rFonts w:ascii="Arial" w:hAnsi="Arial" w:cs="Arial"/>
                <w:sz w:val="20"/>
                <w:szCs w:val="20"/>
              </w:rPr>
            </w:pPr>
            <w:r>
              <w:rPr>
                <w:rFonts w:ascii="Arial" w:hAnsi="Arial" w:cs="Arial"/>
                <w:sz w:val="20"/>
                <w:szCs w:val="20"/>
              </w:rPr>
              <w:t xml:space="preserve">Interim </w:t>
            </w:r>
            <w:r w:rsidR="00311915" w:rsidRPr="002002C6">
              <w:rPr>
                <w:rFonts w:ascii="Arial" w:hAnsi="Arial" w:cs="Arial"/>
                <w:sz w:val="20"/>
                <w:szCs w:val="20"/>
              </w:rPr>
              <w:t>Director of HR Transition</w:t>
            </w:r>
          </w:p>
        </w:tc>
      </w:tr>
    </w:tbl>
    <w:p w14:paraId="7572EAFA" w14:textId="77777777" w:rsidR="00516D86" w:rsidRPr="00483679" w:rsidRDefault="00516D86" w:rsidP="00626A98">
      <w:pPr>
        <w:spacing w:after="120" w:line="240" w:lineRule="auto"/>
        <w:jc w:val="both"/>
        <w:rPr>
          <w:rFonts w:ascii="Arial" w:hAnsi="Arial" w:cs="Arial"/>
        </w:rPr>
      </w:pPr>
    </w:p>
    <w:p w14:paraId="54AD658A" w14:textId="77777777" w:rsidR="00EE7FC0" w:rsidRPr="00626A98" w:rsidRDefault="00EE7FC0" w:rsidP="00626A98">
      <w:pPr>
        <w:pStyle w:val="ListParagraph"/>
        <w:numPr>
          <w:ilvl w:val="0"/>
          <w:numId w:val="4"/>
        </w:numPr>
        <w:spacing w:after="120"/>
        <w:ind w:left="567" w:hanging="567"/>
        <w:jc w:val="both"/>
        <w:rPr>
          <w:rFonts w:ascii="Arial" w:hAnsi="Arial" w:cs="Arial"/>
          <w:b/>
        </w:rPr>
      </w:pPr>
      <w:r w:rsidRPr="00626A98">
        <w:rPr>
          <w:rFonts w:ascii="Arial" w:hAnsi="Arial" w:cs="Arial"/>
          <w:b/>
        </w:rPr>
        <w:t>Revenue Expenditure</w:t>
      </w:r>
    </w:p>
    <w:p w14:paraId="1B1D4E8E" w14:textId="77777777" w:rsidR="005A4200" w:rsidRPr="00483679" w:rsidRDefault="005A4200" w:rsidP="004649E0">
      <w:pPr>
        <w:spacing w:after="240" w:line="240" w:lineRule="auto"/>
        <w:ind w:left="567"/>
        <w:jc w:val="both"/>
        <w:rPr>
          <w:rFonts w:ascii="Arial" w:hAnsi="Arial" w:cs="Arial"/>
        </w:rPr>
      </w:pPr>
      <w:r w:rsidRPr="00483679">
        <w:rPr>
          <w:rFonts w:ascii="Arial" w:hAnsi="Arial" w:cs="Arial"/>
        </w:rPr>
        <w:t>While there is no budget for COVID-19, and approval is not within budgetary constraints, the current SFIs will cease to apply</w:t>
      </w:r>
      <w:r w:rsidR="00FB1717" w:rsidRPr="00483679">
        <w:rPr>
          <w:rFonts w:ascii="Arial" w:hAnsi="Arial" w:cs="Arial"/>
        </w:rPr>
        <w:t xml:space="preserve"> in relation to</w:t>
      </w:r>
      <w:r w:rsidRPr="00483679">
        <w:rPr>
          <w:rFonts w:ascii="Arial" w:hAnsi="Arial" w:cs="Arial"/>
        </w:rPr>
        <w:t xml:space="preserve"> COVID</w:t>
      </w:r>
      <w:r w:rsidRPr="00213CAD">
        <w:rPr>
          <w:rFonts w:ascii="Arial" w:hAnsi="Arial" w:cs="Arial"/>
        </w:rPr>
        <w:t>-19 related expenditure.</w:t>
      </w:r>
      <w:r w:rsidR="00B62072" w:rsidRPr="00213CAD">
        <w:rPr>
          <w:rFonts w:ascii="Arial" w:hAnsi="Arial" w:cs="Arial"/>
        </w:rPr>
        <w:t xml:space="preserve"> These limits are subject to the appropriate procurement rules in section </w:t>
      </w:r>
      <w:r w:rsidR="00213CAD" w:rsidRPr="00213CAD">
        <w:rPr>
          <w:rFonts w:ascii="Arial" w:hAnsi="Arial" w:cs="Arial"/>
        </w:rPr>
        <w:t>6.1</w:t>
      </w:r>
      <w:r w:rsidR="00B62072" w:rsidRPr="00213CAD">
        <w:rPr>
          <w:rFonts w:ascii="Arial" w:hAnsi="Arial" w:cs="Arial"/>
        </w:rPr>
        <w:t xml:space="preserve"> below</w:t>
      </w:r>
      <w:r w:rsidR="00B62072" w:rsidRPr="00483679">
        <w:rPr>
          <w:rFonts w:ascii="Arial" w:hAnsi="Arial" w:cs="Arial"/>
        </w:rPr>
        <w:t>.</w:t>
      </w:r>
    </w:p>
    <w:p w14:paraId="4E5B54E2" w14:textId="77777777" w:rsidR="005A4200" w:rsidRPr="00483679" w:rsidRDefault="00C95371" w:rsidP="004649E0">
      <w:pPr>
        <w:spacing w:after="240" w:line="240" w:lineRule="auto"/>
        <w:ind w:left="567"/>
        <w:jc w:val="both"/>
        <w:rPr>
          <w:rFonts w:ascii="Arial" w:hAnsi="Arial" w:cs="Arial"/>
        </w:rPr>
      </w:pPr>
      <w:r w:rsidRPr="00483679">
        <w:rPr>
          <w:rFonts w:ascii="Arial" w:hAnsi="Arial" w:cs="Arial"/>
        </w:rPr>
        <w:t xml:space="preserve">For </w:t>
      </w:r>
      <w:r w:rsidRPr="00483679">
        <w:rPr>
          <w:rFonts w:ascii="Arial" w:hAnsi="Arial" w:cs="Arial"/>
          <w:b/>
        </w:rPr>
        <w:t>revenue expenditure</w:t>
      </w:r>
      <w:r w:rsidRPr="00483679">
        <w:rPr>
          <w:rFonts w:ascii="Arial" w:hAnsi="Arial" w:cs="Arial"/>
        </w:rPr>
        <w:t xml:space="preserve"> </w:t>
      </w:r>
      <w:r w:rsidR="00436082" w:rsidRPr="00483679">
        <w:rPr>
          <w:rFonts w:ascii="Arial" w:hAnsi="Arial" w:cs="Arial"/>
        </w:rPr>
        <w:t xml:space="preserve">during the COVID-19 response </w:t>
      </w:r>
      <w:r w:rsidR="00FB1717" w:rsidRPr="00483679">
        <w:rPr>
          <w:rFonts w:ascii="Arial" w:hAnsi="Arial" w:cs="Arial"/>
        </w:rPr>
        <w:t>period,</w:t>
      </w:r>
      <w:r w:rsidR="00436082" w:rsidRPr="00483679">
        <w:rPr>
          <w:rFonts w:ascii="Arial" w:hAnsi="Arial" w:cs="Arial"/>
        </w:rPr>
        <w:t xml:space="preserve"> </w:t>
      </w:r>
      <w:r w:rsidR="005A4200" w:rsidRPr="00483679">
        <w:rPr>
          <w:rFonts w:ascii="Arial" w:hAnsi="Arial" w:cs="Arial"/>
        </w:rPr>
        <w:t xml:space="preserve">the following </w:t>
      </w:r>
      <w:r w:rsidR="00FB1717" w:rsidRPr="00483679">
        <w:rPr>
          <w:rFonts w:ascii="Arial" w:hAnsi="Arial" w:cs="Arial"/>
        </w:rPr>
        <w:t>authorisation</w:t>
      </w:r>
      <w:r w:rsidR="005A4200" w:rsidRPr="00483679">
        <w:rPr>
          <w:rFonts w:ascii="Arial" w:hAnsi="Arial" w:cs="Arial"/>
        </w:rPr>
        <w:t xml:space="preserve"> limits will apply:</w:t>
      </w:r>
      <w:r w:rsidR="00EE7FC0" w:rsidRPr="00483679">
        <w:rPr>
          <w:rFonts w:ascii="Arial" w:hAnsi="Arial" w:cs="Arial"/>
        </w:rPr>
        <w:t xml:space="preserve"> </w:t>
      </w:r>
    </w:p>
    <w:p w14:paraId="20D43DE4" w14:textId="77777777" w:rsidR="005A4200" w:rsidRPr="00483679" w:rsidRDefault="00EE7FC0" w:rsidP="004649E0">
      <w:pPr>
        <w:pStyle w:val="ListParagraph"/>
        <w:numPr>
          <w:ilvl w:val="0"/>
          <w:numId w:val="13"/>
        </w:numPr>
        <w:spacing w:after="240"/>
        <w:ind w:left="851" w:hanging="284"/>
        <w:jc w:val="both"/>
        <w:rPr>
          <w:rFonts w:ascii="Arial" w:hAnsi="Arial" w:cs="Arial"/>
        </w:rPr>
      </w:pPr>
      <w:r w:rsidRPr="00483679">
        <w:rPr>
          <w:rFonts w:ascii="Arial" w:hAnsi="Arial" w:cs="Arial"/>
        </w:rPr>
        <w:t xml:space="preserve">Local </w:t>
      </w:r>
      <w:r w:rsidR="00FB1717" w:rsidRPr="00483679">
        <w:rPr>
          <w:rFonts w:ascii="Arial" w:hAnsi="Arial" w:cs="Arial"/>
        </w:rPr>
        <w:t xml:space="preserve">COVID-19 </w:t>
      </w:r>
      <w:r w:rsidR="00D16F7A" w:rsidRPr="00483679">
        <w:rPr>
          <w:rFonts w:ascii="Arial" w:hAnsi="Arial" w:cs="Arial"/>
        </w:rPr>
        <w:t xml:space="preserve">Workstream Lead </w:t>
      </w:r>
      <w:r w:rsidR="00AF3B79" w:rsidRPr="00483679">
        <w:rPr>
          <w:rFonts w:ascii="Arial" w:hAnsi="Arial" w:cs="Arial"/>
        </w:rPr>
        <w:t xml:space="preserve">Directors </w:t>
      </w:r>
      <w:r w:rsidRPr="00483679">
        <w:rPr>
          <w:rFonts w:ascii="Arial" w:hAnsi="Arial" w:cs="Arial"/>
        </w:rPr>
        <w:t xml:space="preserve">can approve spend </w:t>
      </w:r>
      <w:r w:rsidR="006363A0" w:rsidRPr="00483679">
        <w:rPr>
          <w:rFonts w:ascii="Arial" w:hAnsi="Arial" w:cs="Arial"/>
        </w:rPr>
        <w:t>up to £</w:t>
      </w:r>
      <w:r w:rsidR="00AF3B79" w:rsidRPr="00483679">
        <w:rPr>
          <w:rFonts w:ascii="Arial" w:hAnsi="Arial" w:cs="Arial"/>
        </w:rPr>
        <w:t>5</w:t>
      </w:r>
      <w:r w:rsidR="000C4ECA" w:rsidRPr="00483679">
        <w:rPr>
          <w:rFonts w:ascii="Arial" w:hAnsi="Arial" w:cs="Arial"/>
        </w:rPr>
        <w:t xml:space="preserve">k. </w:t>
      </w:r>
    </w:p>
    <w:p w14:paraId="09571ADD" w14:textId="77777777" w:rsidR="005A4200" w:rsidRPr="00483679" w:rsidRDefault="00AF3B79" w:rsidP="004649E0">
      <w:pPr>
        <w:pStyle w:val="ListParagraph"/>
        <w:numPr>
          <w:ilvl w:val="0"/>
          <w:numId w:val="13"/>
        </w:numPr>
        <w:spacing w:after="240"/>
        <w:ind w:left="851" w:hanging="284"/>
        <w:jc w:val="both"/>
        <w:rPr>
          <w:rFonts w:ascii="Arial" w:hAnsi="Arial" w:cs="Arial"/>
        </w:rPr>
      </w:pPr>
      <w:r w:rsidRPr="00483679">
        <w:rPr>
          <w:rFonts w:ascii="Arial" w:hAnsi="Arial" w:cs="Arial"/>
        </w:rPr>
        <w:t xml:space="preserve">Executive </w:t>
      </w:r>
      <w:r w:rsidR="00FB1717" w:rsidRPr="00483679">
        <w:rPr>
          <w:rFonts w:ascii="Arial" w:hAnsi="Arial" w:cs="Arial"/>
        </w:rPr>
        <w:t xml:space="preserve">COVID-19 </w:t>
      </w:r>
      <w:r w:rsidR="006363A0" w:rsidRPr="00483679">
        <w:rPr>
          <w:rFonts w:ascii="Arial" w:hAnsi="Arial" w:cs="Arial"/>
        </w:rPr>
        <w:t xml:space="preserve">Workstream </w:t>
      </w:r>
      <w:r w:rsidRPr="00483679">
        <w:rPr>
          <w:rFonts w:ascii="Arial" w:hAnsi="Arial" w:cs="Arial"/>
        </w:rPr>
        <w:t>Lead</w:t>
      </w:r>
      <w:r w:rsidR="005A4200" w:rsidRPr="00483679">
        <w:rPr>
          <w:rFonts w:ascii="Arial" w:hAnsi="Arial" w:cs="Arial"/>
        </w:rPr>
        <w:t>s</w:t>
      </w:r>
      <w:r w:rsidRPr="00483679">
        <w:rPr>
          <w:rFonts w:ascii="Arial" w:hAnsi="Arial" w:cs="Arial"/>
        </w:rPr>
        <w:t xml:space="preserve"> </w:t>
      </w:r>
      <w:r w:rsidR="00D12340">
        <w:rPr>
          <w:rFonts w:ascii="Arial" w:hAnsi="Arial" w:cs="Arial"/>
        </w:rPr>
        <w:t xml:space="preserve">and Director of Finance </w:t>
      </w:r>
      <w:r w:rsidRPr="00483679">
        <w:rPr>
          <w:rFonts w:ascii="Arial" w:hAnsi="Arial" w:cs="Arial"/>
        </w:rPr>
        <w:t xml:space="preserve">can approve </w:t>
      </w:r>
      <w:r w:rsidR="006363A0" w:rsidRPr="00483679">
        <w:rPr>
          <w:rFonts w:ascii="Arial" w:hAnsi="Arial" w:cs="Arial"/>
        </w:rPr>
        <w:t>spend of up to £</w:t>
      </w:r>
      <w:r w:rsidR="00D16F7A" w:rsidRPr="00483679">
        <w:rPr>
          <w:rFonts w:ascii="Arial" w:hAnsi="Arial" w:cs="Arial"/>
        </w:rPr>
        <w:t>100</w:t>
      </w:r>
      <w:r w:rsidRPr="00483679">
        <w:rPr>
          <w:rFonts w:ascii="Arial" w:hAnsi="Arial" w:cs="Arial"/>
        </w:rPr>
        <w:t>k</w:t>
      </w:r>
      <w:r w:rsidR="00EE7FC0" w:rsidRPr="00483679">
        <w:rPr>
          <w:rFonts w:ascii="Arial" w:hAnsi="Arial" w:cs="Arial"/>
        </w:rPr>
        <w:t>.</w:t>
      </w:r>
    </w:p>
    <w:p w14:paraId="6DAE4B40" w14:textId="708CD8B1" w:rsidR="005A4200" w:rsidRPr="00483679" w:rsidRDefault="00EE7FC0" w:rsidP="004649E0">
      <w:pPr>
        <w:pStyle w:val="ListParagraph"/>
        <w:numPr>
          <w:ilvl w:val="0"/>
          <w:numId w:val="13"/>
        </w:numPr>
        <w:spacing w:after="240"/>
        <w:ind w:left="851" w:hanging="284"/>
        <w:jc w:val="both"/>
        <w:rPr>
          <w:rFonts w:ascii="Arial" w:hAnsi="Arial" w:cs="Arial"/>
        </w:rPr>
      </w:pPr>
      <w:r w:rsidRPr="00483679">
        <w:rPr>
          <w:rFonts w:ascii="Arial" w:hAnsi="Arial" w:cs="Arial"/>
        </w:rPr>
        <w:t>S</w:t>
      </w:r>
      <w:r w:rsidR="00AF3B79" w:rsidRPr="00483679">
        <w:rPr>
          <w:rFonts w:ascii="Arial" w:hAnsi="Arial" w:cs="Arial"/>
        </w:rPr>
        <w:t xml:space="preserve">ingle items in excess of this requiring approval </w:t>
      </w:r>
      <w:r w:rsidR="005A4200" w:rsidRPr="00483679">
        <w:rPr>
          <w:rFonts w:ascii="Arial" w:hAnsi="Arial" w:cs="Arial"/>
        </w:rPr>
        <w:t xml:space="preserve">from the </w:t>
      </w:r>
      <w:r w:rsidR="007F00B1">
        <w:rPr>
          <w:rFonts w:ascii="Arial" w:hAnsi="Arial" w:cs="Arial"/>
        </w:rPr>
        <w:t xml:space="preserve">AO </w:t>
      </w:r>
      <w:r w:rsidR="005A4200" w:rsidRPr="00483679">
        <w:rPr>
          <w:rFonts w:ascii="Arial" w:hAnsi="Arial" w:cs="Arial"/>
        </w:rPr>
        <w:t>and</w:t>
      </w:r>
      <w:r w:rsidR="007F00B1">
        <w:rPr>
          <w:rFonts w:ascii="Arial" w:hAnsi="Arial" w:cs="Arial"/>
        </w:rPr>
        <w:t xml:space="preserve"> CFO</w:t>
      </w:r>
      <w:r w:rsidR="00AF3B79" w:rsidRPr="00483679">
        <w:rPr>
          <w:rFonts w:ascii="Arial" w:hAnsi="Arial" w:cs="Arial"/>
        </w:rPr>
        <w:t xml:space="preserve"> </w:t>
      </w:r>
      <w:r w:rsidR="005A4200" w:rsidRPr="00483679">
        <w:rPr>
          <w:rFonts w:ascii="Arial" w:hAnsi="Arial" w:cs="Arial"/>
        </w:rPr>
        <w:t xml:space="preserve">acting together can approve expenditure </w:t>
      </w:r>
      <w:r w:rsidR="00D16F7A" w:rsidRPr="00483679">
        <w:rPr>
          <w:rFonts w:ascii="Arial" w:hAnsi="Arial" w:cs="Arial"/>
        </w:rPr>
        <w:t xml:space="preserve">up to £1m. </w:t>
      </w:r>
    </w:p>
    <w:p w14:paraId="0129C019" w14:textId="173B3BFE" w:rsidR="007F00B1" w:rsidRDefault="007F00B1" w:rsidP="007F00B1">
      <w:pPr>
        <w:pStyle w:val="ListParagraph"/>
        <w:numPr>
          <w:ilvl w:val="0"/>
          <w:numId w:val="13"/>
        </w:numPr>
        <w:spacing w:after="240"/>
        <w:ind w:left="851" w:hanging="284"/>
        <w:jc w:val="both"/>
        <w:rPr>
          <w:rFonts w:ascii="Arial" w:hAnsi="Arial" w:cs="Arial"/>
        </w:rPr>
      </w:pPr>
      <w:r w:rsidRPr="007F00B1">
        <w:rPr>
          <w:rFonts w:ascii="Arial" w:hAnsi="Arial" w:cs="Arial"/>
        </w:rPr>
        <w:t>Governing Body Chair, AO and CFO acting together can approve expenditure over £1m</w:t>
      </w:r>
      <w:r w:rsidR="009A3EA0">
        <w:rPr>
          <w:rFonts w:ascii="Arial" w:hAnsi="Arial" w:cs="Arial"/>
        </w:rPr>
        <w:t>.</w:t>
      </w:r>
    </w:p>
    <w:p w14:paraId="45A9A26C" w14:textId="77777777" w:rsidR="007F00B1" w:rsidRDefault="007F00B1" w:rsidP="007F00B1">
      <w:pPr>
        <w:pStyle w:val="ListParagraph"/>
        <w:numPr>
          <w:ilvl w:val="0"/>
          <w:numId w:val="13"/>
        </w:numPr>
        <w:spacing w:after="240"/>
        <w:ind w:left="851" w:hanging="284"/>
        <w:jc w:val="both"/>
        <w:rPr>
          <w:rFonts w:ascii="Arial" w:hAnsi="Arial" w:cs="Arial"/>
        </w:rPr>
      </w:pPr>
      <w:proofErr w:type="spellStart"/>
      <w:r w:rsidRPr="007F00B1">
        <w:rPr>
          <w:rFonts w:ascii="Arial" w:hAnsi="Arial" w:cs="Arial"/>
        </w:rPr>
        <w:t>Covid</w:t>
      </w:r>
      <w:proofErr w:type="spellEnd"/>
      <w:r w:rsidRPr="007F00B1">
        <w:rPr>
          <w:rFonts w:ascii="Arial" w:hAnsi="Arial" w:cs="Arial"/>
        </w:rPr>
        <w:t xml:space="preserve"> 19 Response Oversight Committee can approve unlimited expenditure.</w:t>
      </w:r>
    </w:p>
    <w:p w14:paraId="460589B5" w14:textId="77777777" w:rsidR="007F00B1" w:rsidRDefault="007F00B1" w:rsidP="007F00B1">
      <w:pPr>
        <w:spacing w:after="240"/>
        <w:ind w:left="567"/>
        <w:jc w:val="both"/>
        <w:rPr>
          <w:rFonts w:ascii="Arial" w:hAnsi="Arial" w:cs="Arial"/>
        </w:rPr>
      </w:pPr>
    </w:p>
    <w:p w14:paraId="0CAD1533" w14:textId="0F95C9A1" w:rsidR="00AF3B79" w:rsidRPr="007F00B1" w:rsidRDefault="00D16F7A" w:rsidP="007F00B1">
      <w:pPr>
        <w:spacing w:after="240"/>
        <w:ind w:left="567"/>
        <w:jc w:val="both"/>
        <w:rPr>
          <w:rFonts w:ascii="Arial" w:hAnsi="Arial" w:cs="Arial"/>
        </w:rPr>
      </w:pPr>
      <w:r w:rsidRPr="007F00B1">
        <w:rPr>
          <w:rFonts w:ascii="Arial" w:hAnsi="Arial" w:cs="Arial"/>
        </w:rPr>
        <w:t xml:space="preserve">All approvals should be recorded </w:t>
      </w:r>
      <w:r w:rsidR="00D858ED" w:rsidRPr="007F00B1">
        <w:rPr>
          <w:rFonts w:ascii="Arial" w:hAnsi="Arial" w:cs="Arial"/>
        </w:rPr>
        <w:t>in writing</w:t>
      </w:r>
      <w:r w:rsidR="00AF3B79" w:rsidRPr="007F00B1">
        <w:rPr>
          <w:rFonts w:ascii="Arial" w:hAnsi="Arial" w:cs="Arial"/>
        </w:rPr>
        <w:t xml:space="preserve"> </w:t>
      </w:r>
      <w:r w:rsidR="00EE7FC0" w:rsidRPr="007F00B1">
        <w:rPr>
          <w:rFonts w:ascii="Arial" w:hAnsi="Arial" w:cs="Arial"/>
        </w:rPr>
        <w:t xml:space="preserve">from the authorising party </w:t>
      </w:r>
      <w:r w:rsidR="00AF3B79" w:rsidRPr="007F00B1">
        <w:rPr>
          <w:rFonts w:ascii="Arial" w:hAnsi="Arial" w:cs="Arial"/>
        </w:rPr>
        <w:t>which will</w:t>
      </w:r>
      <w:r w:rsidR="007F00B1">
        <w:rPr>
          <w:rFonts w:ascii="Arial" w:hAnsi="Arial" w:cs="Arial"/>
        </w:rPr>
        <w:t xml:space="preserve"> be retained as audit evidence.  All values are exclusive of VAT.</w:t>
      </w:r>
    </w:p>
    <w:p w14:paraId="6712FA6D" w14:textId="77777777" w:rsidR="006061BC" w:rsidRPr="00483679" w:rsidRDefault="006061BC" w:rsidP="004649E0">
      <w:pPr>
        <w:spacing w:after="240" w:line="240" w:lineRule="auto"/>
        <w:ind w:left="567"/>
        <w:jc w:val="both"/>
        <w:rPr>
          <w:rFonts w:ascii="Arial" w:hAnsi="Arial" w:cs="Arial"/>
        </w:rPr>
      </w:pPr>
      <w:r w:rsidRPr="00483679">
        <w:rPr>
          <w:rFonts w:ascii="Arial" w:hAnsi="Arial" w:cs="Arial"/>
        </w:rPr>
        <w:t xml:space="preserve">For specific revenue expenditure on </w:t>
      </w:r>
      <w:r w:rsidR="000C5A25" w:rsidRPr="00483679">
        <w:rPr>
          <w:rFonts w:ascii="Arial" w:hAnsi="Arial" w:cs="Arial"/>
        </w:rPr>
        <w:t>out-of-hospital care</w:t>
      </w:r>
      <w:r w:rsidR="00CF51F5">
        <w:rPr>
          <w:rFonts w:ascii="Arial" w:hAnsi="Arial" w:cs="Arial"/>
        </w:rPr>
        <w:t xml:space="preserve"> packages</w:t>
      </w:r>
      <w:r w:rsidR="000C5A25" w:rsidRPr="00483679">
        <w:rPr>
          <w:rFonts w:ascii="Arial" w:hAnsi="Arial" w:cs="Arial"/>
        </w:rPr>
        <w:t xml:space="preserve"> and support</w:t>
      </w:r>
      <w:r w:rsidRPr="00483679">
        <w:rPr>
          <w:rFonts w:ascii="Arial" w:hAnsi="Arial" w:cs="Arial"/>
        </w:rPr>
        <w:t xml:space="preserve"> relating to </w:t>
      </w:r>
      <w:r w:rsidR="000C5A25" w:rsidRPr="00483679">
        <w:rPr>
          <w:rFonts w:ascii="Arial" w:hAnsi="Arial" w:cs="Arial"/>
        </w:rPr>
        <w:t>d</w:t>
      </w:r>
      <w:r w:rsidRPr="00483679">
        <w:rPr>
          <w:rFonts w:ascii="Arial" w:hAnsi="Arial" w:cs="Arial"/>
        </w:rPr>
        <w:t>ischarges the following authorisation limits will apply:</w:t>
      </w:r>
    </w:p>
    <w:p w14:paraId="5E1E0A94" w14:textId="77777777" w:rsidR="006061BC" w:rsidRPr="00483679" w:rsidRDefault="006061BC" w:rsidP="004649E0">
      <w:pPr>
        <w:pStyle w:val="ListParagraph"/>
        <w:numPr>
          <w:ilvl w:val="0"/>
          <w:numId w:val="14"/>
        </w:numPr>
        <w:spacing w:after="240"/>
        <w:ind w:left="851" w:hanging="284"/>
        <w:jc w:val="both"/>
        <w:rPr>
          <w:rFonts w:ascii="Arial" w:hAnsi="Arial" w:cs="Arial"/>
        </w:rPr>
      </w:pPr>
      <w:r w:rsidRPr="00483679">
        <w:rPr>
          <w:rFonts w:ascii="Arial" w:hAnsi="Arial" w:cs="Arial"/>
        </w:rPr>
        <w:t>Specific identified posts can approve spend up to £70k (equivalent to £1,343 p/w).</w:t>
      </w:r>
    </w:p>
    <w:p w14:paraId="4188A795" w14:textId="77777777" w:rsidR="006061BC" w:rsidRPr="00483679" w:rsidRDefault="006061BC" w:rsidP="004649E0">
      <w:pPr>
        <w:pStyle w:val="ListParagraph"/>
        <w:numPr>
          <w:ilvl w:val="0"/>
          <w:numId w:val="14"/>
        </w:numPr>
        <w:spacing w:after="240"/>
        <w:ind w:left="851" w:hanging="284"/>
        <w:jc w:val="both"/>
        <w:rPr>
          <w:rFonts w:ascii="Arial" w:hAnsi="Arial" w:cs="Arial"/>
        </w:rPr>
      </w:pPr>
      <w:r w:rsidRPr="00483679">
        <w:rPr>
          <w:rFonts w:ascii="Arial" w:hAnsi="Arial" w:cs="Arial"/>
        </w:rPr>
        <w:t xml:space="preserve">Directors can approve up to </w:t>
      </w:r>
      <w:r w:rsidR="00C03346" w:rsidRPr="00483679">
        <w:rPr>
          <w:rFonts w:ascii="Arial" w:hAnsi="Arial" w:cs="Arial"/>
        </w:rPr>
        <w:t>£150k (in line with budgeted expenditure).</w:t>
      </w:r>
    </w:p>
    <w:p w14:paraId="3291D479" w14:textId="0B3FC1B0" w:rsidR="00C03346" w:rsidRPr="00483679" w:rsidRDefault="00C03346" w:rsidP="004649E0">
      <w:pPr>
        <w:pStyle w:val="ListParagraph"/>
        <w:numPr>
          <w:ilvl w:val="0"/>
          <w:numId w:val="14"/>
        </w:numPr>
        <w:spacing w:after="240"/>
        <w:ind w:left="851" w:hanging="284"/>
        <w:jc w:val="both"/>
        <w:rPr>
          <w:rFonts w:ascii="Arial" w:hAnsi="Arial" w:cs="Arial"/>
        </w:rPr>
      </w:pPr>
      <w:r w:rsidRPr="00483679">
        <w:rPr>
          <w:rFonts w:ascii="Arial" w:hAnsi="Arial" w:cs="Arial"/>
        </w:rPr>
        <w:t xml:space="preserve">Managing Directors can approve </w:t>
      </w:r>
      <w:r w:rsidR="009A3EA0">
        <w:rPr>
          <w:rFonts w:ascii="Arial" w:hAnsi="Arial" w:cs="Arial"/>
        </w:rPr>
        <w:t>up to £250k</w:t>
      </w:r>
      <w:r w:rsidRPr="00483679">
        <w:rPr>
          <w:rFonts w:ascii="Arial" w:hAnsi="Arial" w:cs="Arial"/>
        </w:rPr>
        <w:t>.</w:t>
      </w:r>
    </w:p>
    <w:p w14:paraId="1F90FB87" w14:textId="27F6307D" w:rsidR="00C03346" w:rsidRDefault="00232A2C" w:rsidP="004649E0">
      <w:pPr>
        <w:pStyle w:val="ListParagraph"/>
        <w:numPr>
          <w:ilvl w:val="0"/>
          <w:numId w:val="14"/>
        </w:numPr>
        <w:spacing w:after="240"/>
        <w:ind w:left="851" w:hanging="284"/>
        <w:jc w:val="both"/>
        <w:rPr>
          <w:rFonts w:ascii="Arial" w:hAnsi="Arial" w:cs="Arial"/>
        </w:rPr>
      </w:pPr>
      <w:r>
        <w:rPr>
          <w:rFonts w:ascii="Arial" w:hAnsi="Arial" w:cs="Arial"/>
        </w:rPr>
        <w:t xml:space="preserve"> </w:t>
      </w:r>
      <w:r w:rsidR="00C03346" w:rsidRPr="00483679">
        <w:rPr>
          <w:rFonts w:ascii="Arial" w:hAnsi="Arial" w:cs="Arial"/>
        </w:rPr>
        <w:t xml:space="preserve">AO </w:t>
      </w:r>
      <w:r>
        <w:rPr>
          <w:rFonts w:ascii="Arial" w:hAnsi="Arial" w:cs="Arial"/>
        </w:rPr>
        <w:t xml:space="preserve">and CFO </w:t>
      </w:r>
      <w:r w:rsidR="00C03346" w:rsidRPr="00483679">
        <w:rPr>
          <w:rFonts w:ascii="Arial" w:hAnsi="Arial" w:cs="Arial"/>
        </w:rPr>
        <w:t>acting together can approve expenditure up to £1m</w:t>
      </w:r>
      <w:r w:rsidR="009A3EA0">
        <w:rPr>
          <w:rFonts w:ascii="Arial" w:hAnsi="Arial" w:cs="Arial"/>
        </w:rPr>
        <w:t>.</w:t>
      </w:r>
    </w:p>
    <w:p w14:paraId="4BB95F8C" w14:textId="2AAF040D" w:rsidR="00232A2C" w:rsidRDefault="00232A2C" w:rsidP="00232A2C">
      <w:pPr>
        <w:pStyle w:val="ListParagraph"/>
        <w:numPr>
          <w:ilvl w:val="0"/>
          <w:numId w:val="14"/>
        </w:numPr>
        <w:spacing w:after="240"/>
        <w:ind w:left="851" w:hanging="284"/>
        <w:jc w:val="both"/>
        <w:rPr>
          <w:rFonts w:ascii="Arial" w:hAnsi="Arial" w:cs="Arial"/>
        </w:rPr>
      </w:pPr>
      <w:r>
        <w:rPr>
          <w:rFonts w:ascii="Arial" w:hAnsi="Arial" w:cs="Arial"/>
        </w:rPr>
        <w:t xml:space="preserve"> Governing Body Chair, AO and CFO </w:t>
      </w:r>
      <w:r w:rsidRPr="00483679">
        <w:rPr>
          <w:rFonts w:ascii="Arial" w:hAnsi="Arial" w:cs="Arial"/>
        </w:rPr>
        <w:t>acting togeth</w:t>
      </w:r>
      <w:r>
        <w:rPr>
          <w:rFonts w:ascii="Arial" w:hAnsi="Arial" w:cs="Arial"/>
        </w:rPr>
        <w:t>er can approve expenditure over</w:t>
      </w:r>
      <w:r w:rsidRPr="00483679">
        <w:rPr>
          <w:rFonts w:ascii="Arial" w:hAnsi="Arial" w:cs="Arial"/>
        </w:rPr>
        <w:t xml:space="preserve"> £1m</w:t>
      </w:r>
      <w:r w:rsidR="009A3EA0">
        <w:rPr>
          <w:rFonts w:ascii="Arial" w:hAnsi="Arial" w:cs="Arial"/>
        </w:rPr>
        <w:t>.</w:t>
      </w:r>
    </w:p>
    <w:p w14:paraId="471312A8" w14:textId="4FEED71E" w:rsidR="00866793" w:rsidRPr="00232A2C" w:rsidRDefault="00866793" w:rsidP="00232A2C">
      <w:pPr>
        <w:pStyle w:val="ListParagraph"/>
        <w:numPr>
          <w:ilvl w:val="0"/>
          <w:numId w:val="14"/>
        </w:numPr>
        <w:spacing w:after="240"/>
        <w:ind w:left="851" w:hanging="284"/>
        <w:jc w:val="both"/>
        <w:rPr>
          <w:rFonts w:ascii="Arial" w:hAnsi="Arial" w:cs="Arial"/>
        </w:rPr>
      </w:pPr>
      <w:proofErr w:type="spellStart"/>
      <w:r w:rsidRPr="00232A2C">
        <w:rPr>
          <w:rFonts w:ascii="Arial" w:hAnsi="Arial" w:cs="Arial"/>
        </w:rPr>
        <w:t>Covid</w:t>
      </w:r>
      <w:proofErr w:type="spellEnd"/>
      <w:r w:rsidRPr="00232A2C">
        <w:rPr>
          <w:rFonts w:ascii="Arial" w:hAnsi="Arial" w:cs="Arial"/>
        </w:rPr>
        <w:t xml:space="preserve"> 19 Response Oversight Committee can approve unlimited </w:t>
      </w:r>
      <w:r w:rsidR="00232A2C">
        <w:rPr>
          <w:rFonts w:ascii="Arial" w:hAnsi="Arial" w:cs="Arial"/>
        </w:rPr>
        <w:t>expenditure.</w:t>
      </w:r>
    </w:p>
    <w:p w14:paraId="180E2E28" w14:textId="77777777" w:rsidR="005F552E" w:rsidRPr="00483679" w:rsidRDefault="00C03346" w:rsidP="004649E0">
      <w:pPr>
        <w:spacing w:after="240" w:line="240" w:lineRule="auto"/>
        <w:ind w:left="567"/>
        <w:jc w:val="both"/>
        <w:rPr>
          <w:rFonts w:ascii="Arial" w:hAnsi="Arial" w:cs="Arial"/>
        </w:rPr>
      </w:pPr>
      <w:r w:rsidRPr="00483679">
        <w:rPr>
          <w:rFonts w:ascii="Arial" w:hAnsi="Arial" w:cs="Arial"/>
        </w:rPr>
        <w:t>While there is an expectation that care costs may increase during this period records should be maintained, with all costs and activity associated with the enhanced discharge process captured for audit purposes and for reporting to NHSE&amp;I.</w:t>
      </w:r>
    </w:p>
    <w:p w14:paraId="730D6C46" w14:textId="77777777" w:rsidR="005F552E" w:rsidRPr="00483679" w:rsidRDefault="005F552E" w:rsidP="004649E0">
      <w:pPr>
        <w:spacing w:after="240" w:line="240" w:lineRule="auto"/>
        <w:ind w:left="567"/>
        <w:jc w:val="both"/>
        <w:rPr>
          <w:rFonts w:ascii="Arial" w:hAnsi="Arial" w:cs="Arial"/>
        </w:rPr>
      </w:pPr>
      <w:r w:rsidRPr="00483679">
        <w:rPr>
          <w:rFonts w:ascii="Arial" w:hAnsi="Arial" w:cs="Arial"/>
        </w:rPr>
        <w:t xml:space="preserve">NHSE&amp;I will reimburse CCGs through the monthly allocation process. CCGs </w:t>
      </w:r>
      <w:r w:rsidR="000C5A25" w:rsidRPr="00483679">
        <w:rPr>
          <w:rFonts w:ascii="Arial" w:hAnsi="Arial" w:cs="Arial"/>
        </w:rPr>
        <w:t>will</w:t>
      </w:r>
      <w:r w:rsidRPr="00483679">
        <w:rPr>
          <w:rFonts w:ascii="Arial" w:hAnsi="Arial" w:cs="Arial"/>
        </w:rPr>
        <w:t xml:space="preserve">, from the commencement date, maintain a record of the costs and activity associated with the enhanced discharge process </w:t>
      </w:r>
      <w:r w:rsidR="000C5A25" w:rsidRPr="00483679">
        <w:rPr>
          <w:rFonts w:ascii="Arial" w:hAnsi="Arial" w:cs="Arial"/>
        </w:rPr>
        <w:t xml:space="preserve">for audit purposes and to </w:t>
      </w:r>
      <w:r w:rsidRPr="00483679">
        <w:rPr>
          <w:rFonts w:ascii="Arial" w:hAnsi="Arial" w:cs="Arial"/>
        </w:rPr>
        <w:t>submit claim</w:t>
      </w:r>
      <w:r w:rsidR="000C5A25" w:rsidRPr="00483679">
        <w:rPr>
          <w:rFonts w:ascii="Arial" w:hAnsi="Arial" w:cs="Arial"/>
        </w:rPr>
        <w:t>s</w:t>
      </w:r>
      <w:r w:rsidRPr="00483679">
        <w:rPr>
          <w:rFonts w:ascii="Arial" w:hAnsi="Arial" w:cs="Arial"/>
        </w:rPr>
        <w:t xml:space="preserve"> for additional payment </w:t>
      </w:r>
      <w:r w:rsidR="000C5A25" w:rsidRPr="00483679">
        <w:rPr>
          <w:rFonts w:ascii="Arial" w:hAnsi="Arial" w:cs="Arial"/>
        </w:rPr>
        <w:t xml:space="preserve">to </w:t>
      </w:r>
      <w:r w:rsidRPr="00483679">
        <w:rPr>
          <w:rFonts w:ascii="Arial" w:hAnsi="Arial" w:cs="Arial"/>
        </w:rPr>
        <w:t xml:space="preserve">NHSE&amp;I. </w:t>
      </w:r>
    </w:p>
    <w:p w14:paraId="64FFBF06" w14:textId="77777777" w:rsidR="00D24C9B" w:rsidRPr="00483679" w:rsidRDefault="000C5A25" w:rsidP="00C461A2">
      <w:pPr>
        <w:spacing w:after="360" w:line="240" w:lineRule="auto"/>
        <w:ind w:left="567"/>
        <w:jc w:val="both"/>
        <w:rPr>
          <w:rFonts w:ascii="Arial" w:hAnsi="Arial" w:cs="Arial"/>
        </w:rPr>
      </w:pPr>
      <w:r w:rsidRPr="00483679">
        <w:rPr>
          <w:rFonts w:ascii="Arial" w:hAnsi="Arial" w:cs="Arial"/>
        </w:rPr>
        <w:t xml:space="preserve">The </w:t>
      </w:r>
      <w:r w:rsidR="005F552E" w:rsidRPr="00483679">
        <w:rPr>
          <w:rFonts w:ascii="Arial" w:hAnsi="Arial" w:cs="Arial"/>
        </w:rPr>
        <w:t>reimbursement of costs process also applies to local authorities</w:t>
      </w:r>
      <w:r w:rsidRPr="00483679">
        <w:rPr>
          <w:rFonts w:ascii="Arial" w:hAnsi="Arial" w:cs="Arial"/>
        </w:rPr>
        <w:t xml:space="preserve"> who</w:t>
      </w:r>
      <w:r w:rsidR="005F552E" w:rsidRPr="00483679">
        <w:rPr>
          <w:rFonts w:ascii="Arial" w:hAnsi="Arial" w:cs="Arial"/>
        </w:rPr>
        <w:t xml:space="preserve"> will be expected to submit returns to the CCG</w:t>
      </w:r>
      <w:r w:rsidR="008D2D4A" w:rsidRPr="00483679">
        <w:rPr>
          <w:rFonts w:ascii="Arial" w:hAnsi="Arial" w:cs="Arial"/>
        </w:rPr>
        <w:t xml:space="preserve">, also </w:t>
      </w:r>
      <w:r w:rsidRPr="00483679">
        <w:rPr>
          <w:rFonts w:ascii="Arial" w:hAnsi="Arial" w:cs="Arial"/>
        </w:rPr>
        <w:t xml:space="preserve">for reimbursement from </w:t>
      </w:r>
      <w:proofErr w:type="gramStart"/>
      <w:r w:rsidRPr="00483679">
        <w:rPr>
          <w:rFonts w:ascii="Arial" w:hAnsi="Arial" w:cs="Arial"/>
        </w:rPr>
        <w:t>NHSE&amp;I</w:t>
      </w:r>
      <w:proofErr w:type="gramEnd"/>
      <w:r w:rsidRPr="00483679">
        <w:rPr>
          <w:rFonts w:ascii="Arial" w:hAnsi="Arial" w:cs="Arial"/>
        </w:rPr>
        <w:t>. In order to maintain effective governance during this process</w:t>
      </w:r>
      <w:r w:rsidR="008D2D4A" w:rsidRPr="00483679">
        <w:rPr>
          <w:rFonts w:ascii="Arial" w:hAnsi="Arial" w:cs="Arial"/>
        </w:rPr>
        <w:t>,</w:t>
      </w:r>
      <w:r w:rsidRPr="00483679">
        <w:rPr>
          <w:rFonts w:ascii="Arial" w:hAnsi="Arial" w:cs="Arial"/>
        </w:rPr>
        <w:t xml:space="preserve"> existing section 75 agreements will be varied to include these services and functions.</w:t>
      </w:r>
    </w:p>
    <w:p w14:paraId="42504449" w14:textId="77777777" w:rsidR="007F4EF7" w:rsidRPr="00C21AD2" w:rsidRDefault="007F4EF7" w:rsidP="00C461A2">
      <w:pPr>
        <w:pStyle w:val="ListParagraph"/>
        <w:numPr>
          <w:ilvl w:val="0"/>
          <w:numId w:val="4"/>
        </w:numPr>
        <w:spacing w:after="240"/>
        <w:ind w:left="567" w:hanging="567"/>
        <w:jc w:val="both"/>
        <w:rPr>
          <w:rFonts w:ascii="Arial" w:hAnsi="Arial" w:cs="Arial"/>
          <w:b/>
        </w:rPr>
      </w:pPr>
      <w:r w:rsidRPr="00C21AD2">
        <w:rPr>
          <w:rFonts w:ascii="Arial" w:hAnsi="Arial" w:cs="Arial"/>
          <w:b/>
        </w:rPr>
        <w:t>Capital Expenditure</w:t>
      </w:r>
    </w:p>
    <w:p w14:paraId="1C588F12" w14:textId="77777777" w:rsidR="00D44023" w:rsidRPr="00483679" w:rsidRDefault="00D44023" w:rsidP="00C461A2">
      <w:pPr>
        <w:spacing w:after="240" w:line="240" w:lineRule="auto"/>
        <w:ind w:left="567"/>
        <w:jc w:val="both"/>
        <w:rPr>
          <w:rFonts w:ascii="Arial" w:hAnsi="Arial" w:cs="Arial"/>
        </w:rPr>
      </w:pPr>
      <w:r w:rsidRPr="00483679">
        <w:rPr>
          <w:rFonts w:ascii="Arial" w:hAnsi="Arial" w:cs="Arial"/>
        </w:rPr>
        <w:t>COVID</w:t>
      </w:r>
      <w:r w:rsidR="00EC3305" w:rsidRPr="00483679">
        <w:rPr>
          <w:rFonts w:ascii="Arial" w:hAnsi="Arial" w:cs="Arial"/>
        </w:rPr>
        <w:t>-</w:t>
      </w:r>
      <w:r w:rsidRPr="00483679">
        <w:rPr>
          <w:rFonts w:ascii="Arial" w:hAnsi="Arial" w:cs="Arial"/>
        </w:rPr>
        <w:t xml:space="preserve">19 </w:t>
      </w:r>
      <w:r w:rsidRPr="00483679">
        <w:rPr>
          <w:rFonts w:ascii="Arial" w:hAnsi="Arial" w:cs="Arial"/>
          <w:b/>
        </w:rPr>
        <w:t>Capital expenditure</w:t>
      </w:r>
      <w:r w:rsidRPr="00483679">
        <w:rPr>
          <w:rFonts w:ascii="Arial" w:hAnsi="Arial" w:cs="Arial"/>
        </w:rPr>
        <w:t xml:space="preserve"> required a bid to be submitted to NHSE/I </w:t>
      </w:r>
      <w:r w:rsidR="00EC3305" w:rsidRPr="00483679">
        <w:rPr>
          <w:rFonts w:ascii="Arial" w:hAnsi="Arial" w:cs="Arial"/>
        </w:rPr>
        <w:t xml:space="preserve">Emergency Preparedness, Resilience and Response (EPRR) Group </w:t>
      </w:r>
      <w:r w:rsidRPr="00483679">
        <w:rPr>
          <w:rFonts w:ascii="Arial" w:hAnsi="Arial" w:cs="Arial"/>
        </w:rPr>
        <w:t xml:space="preserve">for approval.  </w:t>
      </w:r>
    </w:p>
    <w:p w14:paraId="0C756442" w14:textId="77777777" w:rsidR="00B360C3" w:rsidRPr="00483679" w:rsidRDefault="00D44023" w:rsidP="00C461A2">
      <w:pPr>
        <w:spacing w:after="240" w:line="240" w:lineRule="auto"/>
        <w:ind w:left="567"/>
        <w:jc w:val="both"/>
        <w:rPr>
          <w:rFonts w:ascii="Arial" w:hAnsi="Arial" w:cs="Arial"/>
        </w:rPr>
      </w:pPr>
      <w:r w:rsidRPr="00483679">
        <w:rPr>
          <w:rFonts w:ascii="Arial" w:hAnsi="Arial" w:cs="Arial"/>
        </w:rPr>
        <w:t xml:space="preserve">All expenditure </w:t>
      </w:r>
      <w:r w:rsidR="00710285" w:rsidRPr="00483679">
        <w:rPr>
          <w:rFonts w:ascii="Arial" w:hAnsi="Arial" w:cs="Arial"/>
        </w:rPr>
        <w:t xml:space="preserve">will still need to be </w:t>
      </w:r>
      <w:r w:rsidRPr="00483679">
        <w:rPr>
          <w:rFonts w:ascii="Arial" w:hAnsi="Arial" w:cs="Arial"/>
        </w:rPr>
        <w:t xml:space="preserve">procured, </w:t>
      </w:r>
      <w:r w:rsidR="00710285" w:rsidRPr="00483679">
        <w:rPr>
          <w:rFonts w:ascii="Arial" w:hAnsi="Arial" w:cs="Arial"/>
        </w:rPr>
        <w:t>accounted for and coded appropriately and the monitoring p</w:t>
      </w:r>
      <w:r w:rsidRPr="00483679">
        <w:rPr>
          <w:rFonts w:ascii="Arial" w:hAnsi="Arial" w:cs="Arial"/>
        </w:rPr>
        <w:t>rocess (see below) will be used.</w:t>
      </w:r>
    </w:p>
    <w:p w14:paraId="0E93ECBB" w14:textId="77777777" w:rsidR="00472F49" w:rsidRPr="00483679" w:rsidRDefault="002741F6" w:rsidP="00C461A2">
      <w:pPr>
        <w:spacing w:after="360" w:line="240" w:lineRule="auto"/>
        <w:ind w:left="567"/>
        <w:jc w:val="both"/>
        <w:rPr>
          <w:rFonts w:ascii="Arial" w:hAnsi="Arial" w:cs="Arial"/>
        </w:rPr>
      </w:pPr>
      <w:r w:rsidRPr="00483679">
        <w:rPr>
          <w:rFonts w:ascii="Arial" w:hAnsi="Arial" w:cs="Arial"/>
        </w:rPr>
        <w:t xml:space="preserve">We anticipate that individual claims for capital expenditure by commissioners will fall within the delegated budgetary limits for </w:t>
      </w:r>
      <w:proofErr w:type="gramStart"/>
      <w:r w:rsidRPr="00483679">
        <w:rPr>
          <w:rFonts w:ascii="Arial" w:hAnsi="Arial" w:cs="Arial"/>
        </w:rPr>
        <w:t>NHSE/I</w:t>
      </w:r>
      <w:proofErr w:type="gramEnd"/>
      <w:r w:rsidRPr="00483679">
        <w:rPr>
          <w:rFonts w:ascii="Arial" w:hAnsi="Arial" w:cs="Arial"/>
        </w:rPr>
        <w:t xml:space="preserve"> of £10m. Any requests for capital expenditure by commissioners including any assets being purchased on behalf of general practice should be relayed to </w:t>
      </w:r>
      <w:proofErr w:type="gramStart"/>
      <w:r w:rsidRPr="00483679">
        <w:rPr>
          <w:rFonts w:ascii="Arial" w:hAnsi="Arial" w:cs="Arial"/>
        </w:rPr>
        <w:t>NHSE/I</w:t>
      </w:r>
      <w:proofErr w:type="gramEnd"/>
      <w:r w:rsidRPr="00483679">
        <w:rPr>
          <w:rFonts w:ascii="Arial" w:hAnsi="Arial" w:cs="Arial"/>
        </w:rPr>
        <w:t xml:space="preserve"> regional teams for assessment with the national team, following which the required capital allocation will be issued.</w:t>
      </w:r>
    </w:p>
    <w:p w14:paraId="5BED709D" w14:textId="77777777" w:rsidR="00BC5797" w:rsidRPr="00C21AD2" w:rsidRDefault="00D373E9" w:rsidP="00C461A2">
      <w:pPr>
        <w:pStyle w:val="ListParagraph"/>
        <w:numPr>
          <w:ilvl w:val="0"/>
          <w:numId w:val="4"/>
        </w:numPr>
        <w:spacing w:after="120"/>
        <w:ind w:left="567" w:hanging="567"/>
        <w:jc w:val="both"/>
        <w:rPr>
          <w:rFonts w:ascii="Arial" w:hAnsi="Arial" w:cs="Arial"/>
          <w:b/>
          <w:bCs/>
        </w:rPr>
      </w:pPr>
      <w:r w:rsidRPr="00C21AD2">
        <w:rPr>
          <w:rFonts w:ascii="Arial" w:hAnsi="Arial" w:cs="Arial"/>
          <w:b/>
          <w:bCs/>
        </w:rPr>
        <w:t>Supply/c</w:t>
      </w:r>
      <w:r w:rsidR="00BC5797" w:rsidRPr="00C21AD2">
        <w:rPr>
          <w:rFonts w:ascii="Arial" w:hAnsi="Arial" w:cs="Arial"/>
          <w:b/>
          <w:bCs/>
        </w:rPr>
        <w:t>ontract arrangements</w:t>
      </w:r>
    </w:p>
    <w:p w14:paraId="3F061718" w14:textId="77777777" w:rsidR="00BC5797" w:rsidRPr="00C21AD2" w:rsidRDefault="00BC5797" w:rsidP="00C461A2">
      <w:pPr>
        <w:pStyle w:val="ListParagraph"/>
        <w:numPr>
          <w:ilvl w:val="1"/>
          <w:numId w:val="18"/>
        </w:numPr>
        <w:spacing w:after="120"/>
        <w:ind w:left="567" w:hanging="567"/>
        <w:jc w:val="both"/>
        <w:rPr>
          <w:rFonts w:ascii="Arial" w:hAnsi="Arial" w:cs="Arial"/>
          <w:b/>
          <w:bCs/>
        </w:rPr>
      </w:pPr>
      <w:r w:rsidRPr="00C21AD2">
        <w:rPr>
          <w:rFonts w:ascii="Arial" w:hAnsi="Arial" w:cs="Arial"/>
          <w:b/>
          <w:bCs/>
        </w:rPr>
        <w:t>Procurement arrangements and new contracts</w:t>
      </w:r>
    </w:p>
    <w:p w14:paraId="67B0C850" w14:textId="77777777" w:rsidR="00FC1D4D" w:rsidRPr="00483679" w:rsidRDefault="0032797F" w:rsidP="00C461A2">
      <w:pPr>
        <w:spacing w:after="120" w:line="240" w:lineRule="auto"/>
        <w:ind w:left="567"/>
        <w:jc w:val="both"/>
        <w:rPr>
          <w:rFonts w:ascii="Arial" w:hAnsi="Arial" w:cs="Arial"/>
        </w:rPr>
      </w:pPr>
      <w:r w:rsidRPr="00483679">
        <w:rPr>
          <w:rFonts w:ascii="Arial" w:hAnsi="Arial" w:cs="Arial"/>
        </w:rPr>
        <w:t xml:space="preserve">It is recognised that normal procurement arrangements will not be able to be in place during the COVID-19 related emergency as speed and availability of products will be critical during this period. </w:t>
      </w:r>
      <w:r w:rsidR="002B53D6" w:rsidRPr="00483679">
        <w:rPr>
          <w:rFonts w:ascii="Arial" w:hAnsi="Arial" w:cs="Arial"/>
        </w:rPr>
        <w:t xml:space="preserve"> </w:t>
      </w:r>
      <w:r w:rsidRPr="00483679">
        <w:rPr>
          <w:rFonts w:ascii="Arial" w:hAnsi="Arial" w:cs="Arial"/>
        </w:rPr>
        <w:t xml:space="preserve">Therefore the procurement requirement for competitive tender and 3 quotes will be overridden with approval as set out </w:t>
      </w:r>
      <w:r w:rsidR="00FC1D4D" w:rsidRPr="00483679">
        <w:rPr>
          <w:rFonts w:ascii="Arial" w:hAnsi="Arial" w:cs="Arial"/>
        </w:rPr>
        <w:t xml:space="preserve">in the ‘Specific Procurement advice in light of exceptional circumstances’ guidance </w:t>
      </w:r>
      <w:r w:rsidRPr="00483679">
        <w:rPr>
          <w:rFonts w:ascii="Arial" w:hAnsi="Arial" w:cs="Arial"/>
        </w:rPr>
        <w:t xml:space="preserve">below. </w:t>
      </w:r>
      <w:r w:rsidR="002B53D6" w:rsidRPr="00483679">
        <w:rPr>
          <w:rFonts w:ascii="Arial" w:hAnsi="Arial" w:cs="Arial"/>
        </w:rPr>
        <w:t xml:space="preserve"> </w:t>
      </w:r>
      <w:r w:rsidR="00673B82" w:rsidRPr="00483679">
        <w:rPr>
          <w:rFonts w:ascii="Arial" w:hAnsi="Arial" w:cs="Arial"/>
        </w:rPr>
        <w:t>The CCGs</w:t>
      </w:r>
      <w:r w:rsidR="00BC5797" w:rsidRPr="00483679">
        <w:rPr>
          <w:rFonts w:ascii="Arial" w:hAnsi="Arial" w:cs="Arial"/>
        </w:rPr>
        <w:t xml:space="preserve"> intention is to use the existing </w:t>
      </w:r>
      <w:r w:rsidR="00FC1D4D" w:rsidRPr="00483679">
        <w:rPr>
          <w:rFonts w:ascii="Arial" w:hAnsi="Arial" w:cs="Arial"/>
        </w:rPr>
        <w:t xml:space="preserve">NHS </w:t>
      </w:r>
      <w:r w:rsidR="00BC5797" w:rsidRPr="00483679">
        <w:rPr>
          <w:rFonts w:ascii="Arial" w:hAnsi="Arial" w:cs="Arial"/>
        </w:rPr>
        <w:t xml:space="preserve">supply chain </w:t>
      </w:r>
      <w:r w:rsidR="00FC1D4D" w:rsidRPr="00483679">
        <w:rPr>
          <w:rFonts w:ascii="Arial" w:hAnsi="Arial" w:cs="Arial"/>
        </w:rPr>
        <w:t>and approve</w:t>
      </w:r>
      <w:r w:rsidR="00B62072" w:rsidRPr="00483679">
        <w:rPr>
          <w:rFonts w:ascii="Arial" w:hAnsi="Arial" w:cs="Arial"/>
        </w:rPr>
        <w:t>d</w:t>
      </w:r>
      <w:r w:rsidR="00FC1D4D" w:rsidRPr="00483679">
        <w:rPr>
          <w:rFonts w:ascii="Arial" w:hAnsi="Arial" w:cs="Arial"/>
        </w:rPr>
        <w:t xml:space="preserve"> providers </w:t>
      </w:r>
      <w:r w:rsidR="00B62072" w:rsidRPr="00483679">
        <w:rPr>
          <w:rFonts w:ascii="Arial" w:hAnsi="Arial" w:cs="Arial"/>
        </w:rPr>
        <w:t>and frameworks</w:t>
      </w:r>
      <w:r w:rsidR="002B53D6" w:rsidRPr="00483679">
        <w:rPr>
          <w:rFonts w:ascii="Arial" w:hAnsi="Arial" w:cs="Arial"/>
        </w:rPr>
        <w:t>.</w:t>
      </w:r>
      <w:r w:rsidR="00BC5797" w:rsidRPr="00483679">
        <w:rPr>
          <w:rFonts w:ascii="Arial" w:hAnsi="Arial" w:cs="Arial"/>
        </w:rPr>
        <w:t xml:space="preserve"> </w:t>
      </w:r>
      <w:r w:rsidR="002B53D6" w:rsidRPr="00483679">
        <w:rPr>
          <w:rFonts w:ascii="Arial" w:hAnsi="Arial" w:cs="Arial"/>
        </w:rPr>
        <w:t xml:space="preserve"> T</w:t>
      </w:r>
      <w:r w:rsidR="00673B82" w:rsidRPr="00483679">
        <w:rPr>
          <w:rFonts w:ascii="Arial" w:hAnsi="Arial" w:cs="Arial"/>
        </w:rPr>
        <w:t>he CCG</w:t>
      </w:r>
      <w:r w:rsidR="00BC5797" w:rsidRPr="00483679">
        <w:rPr>
          <w:rFonts w:ascii="Arial" w:hAnsi="Arial" w:cs="Arial"/>
        </w:rPr>
        <w:t xml:space="preserve"> also intends to utilise national procurement arrangements put in place for key COVID-19 equipment and supplies (e.g. </w:t>
      </w:r>
      <w:r w:rsidR="00673B82" w:rsidRPr="00483679">
        <w:rPr>
          <w:rFonts w:ascii="Arial" w:hAnsi="Arial" w:cs="Arial"/>
        </w:rPr>
        <w:t>PPE</w:t>
      </w:r>
      <w:r w:rsidR="00C21AD2">
        <w:rPr>
          <w:rFonts w:ascii="Arial" w:hAnsi="Arial" w:cs="Arial"/>
        </w:rPr>
        <w:t>).</w:t>
      </w:r>
    </w:p>
    <w:p w14:paraId="040181AE" w14:textId="77777777" w:rsidR="00583E5F" w:rsidRPr="00483679" w:rsidRDefault="00FC1D4D" w:rsidP="00C461A2">
      <w:pPr>
        <w:spacing w:after="120" w:line="240" w:lineRule="auto"/>
        <w:ind w:left="567"/>
        <w:jc w:val="both"/>
        <w:rPr>
          <w:rFonts w:ascii="Arial" w:hAnsi="Arial" w:cs="Arial"/>
          <w:i/>
          <w:iCs/>
        </w:rPr>
      </w:pPr>
      <w:r w:rsidRPr="00483679">
        <w:rPr>
          <w:rFonts w:ascii="Arial" w:hAnsi="Arial" w:cs="Arial"/>
        </w:rPr>
        <w:t>In keeping with NHSE/I guidance covering the COVID-19 response</w:t>
      </w:r>
      <w:r w:rsidR="00B62072" w:rsidRPr="00483679">
        <w:rPr>
          <w:rFonts w:ascii="Arial" w:hAnsi="Arial" w:cs="Arial"/>
        </w:rPr>
        <w:t>,</w:t>
      </w:r>
      <w:r w:rsidRPr="00483679">
        <w:rPr>
          <w:rFonts w:ascii="Arial" w:hAnsi="Arial" w:cs="Arial"/>
        </w:rPr>
        <w:t xml:space="preserve"> no</w:t>
      </w:r>
      <w:r w:rsidR="00BC5797" w:rsidRPr="00483679">
        <w:rPr>
          <w:rFonts w:ascii="Arial" w:hAnsi="Arial" w:cs="Arial"/>
        </w:rPr>
        <w:t xml:space="preserve"> new contracts for supply of goods </w:t>
      </w:r>
      <w:r w:rsidRPr="00483679">
        <w:rPr>
          <w:rFonts w:ascii="Arial" w:hAnsi="Arial" w:cs="Arial"/>
        </w:rPr>
        <w:t xml:space="preserve">or services </w:t>
      </w:r>
      <w:r w:rsidR="00BC5797" w:rsidRPr="00483679">
        <w:rPr>
          <w:rFonts w:ascii="Arial" w:hAnsi="Arial" w:cs="Arial"/>
        </w:rPr>
        <w:t>should be entered in</w:t>
      </w:r>
      <w:r w:rsidRPr="00483679">
        <w:rPr>
          <w:rFonts w:ascii="Arial" w:hAnsi="Arial" w:cs="Arial"/>
        </w:rPr>
        <w:t xml:space="preserve"> </w:t>
      </w:r>
      <w:r w:rsidR="00BC5797" w:rsidRPr="00483679">
        <w:rPr>
          <w:rFonts w:ascii="Arial" w:hAnsi="Arial" w:cs="Arial"/>
        </w:rPr>
        <w:t xml:space="preserve">to during this period </w:t>
      </w:r>
      <w:r w:rsidRPr="00483679">
        <w:rPr>
          <w:rFonts w:ascii="Arial" w:hAnsi="Arial" w:cs="Arial"/>
        </w:rPr>
        <w:t xml:space="preserve">unless directly </w:t>
      </w:r>
      <w:r w:rsidRPr="00483679">
        <w:rPr>
          <w:rFonts w:ascii="Arial" w:hAnsi="Arial" w:cs="Arial"/>
          <w:i/>
          <w:iCs/>
        </w:rPr>
        <w:t xml:space="preserve">related to </w:t>
      </w:r>
      <w:r w:rsidR="00583E5F" w:rsidRPr="00483679">
        <w:rPr>
          <w:rFonts w:ascii="Arial" w:hAnsi="Arial" w:cs="Arial"/>
          <w:i/>
          <w:iCs/>
        </w:rPr>
        <w:lastRenderedPageBreak/>
        <w:t>COVID-19</w:t>
      </w:r>
      <w:r w:rsidR="00B62072" w:rsidRPr="00483679">
        <w:rPr>
          <w:rFonts w:ascii="Arial" w:hAnsi="Arial" w:cs="Arial"/>
          <w:i/>
          <w:iCs/>
        </w:rPr>
        <w:t>. Any exceptions will need to be</w:t>
      </w:r>
      <w:r w:rsidRPr="00483679">
        <w:rPr>
          <w:rFonts w:ascii="Arial" w:hAnsi="Arial" w:cs="Arial"/>
          <w:i/>
          <w:iCs/>
        </w:rPr>
        <w:t xml:space="preserve"> approved by </w:t>
      </w:r>
      <w:proofErr w:type="gramStart"/>
      <w:r w:rsidRPr="00483679">
        <w:rPr>
          <w:rFonts w:ascii="Arial" w:hAnsi="Arial" w:cs="Arial"/>
          <w:i/>
          <w:iCs/>
        </w:rPr>
        <w:t>NHSE/I</w:t>
      </w:r>
      <w:proofErr w:type="gramEnd"/>
      <w:r w:rsidRPr="00483679">
        <w:rPr>
          <w:rFonts w:ascii="Arial" w:hAnsi="Arial" w:cs="Arial"/>
          <w:i/>
          <w:iCs/>
        </w:rPr>
        <w:t xml:space="preserve">. Therefore there should be no new investments, </w:t>
      </w:r>
      <w:r w:rsidRPr="00483679">
        <w:rPr>
          <w:rFonts w:ascii="Arial" w:hAnsi="Arial" w:cs="Arial"/>
          <w:b/>
          <w:bCs/>
          <w:i/>
          <w:iCs/>
        </w:rPr>
        <w:t>or implementation of previously approved but not yet started investments, unless directly Covid-19 related, until the end of quarter one</w:t>
      </w:r>
      <w:r w:rsidRPr="00483679">
        <w:rPr>
          <w:rFonts w:ascii="Arial" w:hAnsi="Arial" w:cs="Arial"/>
          <w:i/>
          <w:iCs/>
        </w:rPr>
        <w:t>.  This</w:t>
      </w:r>
      <w:r w:rsidR="00583E5F" w:rsidRPr="00483679">
        <w:rPr>
          <w:rFonts w:ascii="Arial" w:hAnsi="Arial" w:cs="Arial"/>
          <w:i/>
          <w:iCs/>
        </w:rPr>
        <w:t xml:space="preserve"> will be reviewed periodically.</w:t>
      </w:r>
    </w:p>
    <w:p w14:paraId="48D890CE" w14:textId="77777777" w:rsidR="0032797F" w:rsidRPr="00483679" w:rsidRDefault="00583E5F" w:rsidP="00C461A2">
      <w:pPr>
        <w:spacing w:after="120" w:line="240" w:lineRule="auto"/>
        <w:ind w:left="567"/>
        <w:jc w:val="both"/>
        <w:rPr>
          <w:rFonts w:ascii="Arial" w:hAnsi="Arial" w:cs="Arial"/>
          <w:highlight w:val="yellow"/>
        </w:rPr>
      </w:pPr>
      <w:r w:rsidRPr="00483679">
        <w:rPr>
          <w:rFonts w:ascii="Arial" w:hAnsi="Arial" w:cs="Arial"/>
        </w:rPr>
        <w:t>A</w:t>
      </w:r>
      <w:r w:rsidR="00BC5797" w:rsidRPr="00483679">
        <w:rPr>
          <w:rFonts w:ascii="Arial" w:hAnsi="Arial" w:cs="Arial"/>
        </w:rPr>
        <w:t>ny new contracts</w:t>
      </w:r>
      <w:r w:rsidR="00CF77E3" w:rsidRPr="00483679">
        <w:rPr>
          <w:rFonts w:ascii="Arial" w:hAnsi="Arial" w:cs="Arial"/>
        </w:rPr>
        <w:t xml:space="preserve"> </w:t>
      </w:r>
      <w:r w:rsidR="00BC5797" w:rsidRPr="00483679">
        <w:rPr>
          <w:rFonts w:ascii="Arial" w:hAnsi="Arial" w:cs="Arial"/>
        </w:rPr>
        <w:t xml:space="preserve">should be for a </w:t>
      </w:r>
      <w:r w:rsidRPr="00483679">
        <w:rPr>
          <w:rFonts w:ascii="Arial" w:hAnsi="Arial" w:cs="Arial"/>
        </w:rPr>
        <w:t xml:space="preserve">maximum </w:t>
      </w:r>
      <w:r w:rsidR="00BC5797" w:rsidRPr="00483679">
        <w:rPr>
          <w:rFonts w:ascii="Arial" w:hAnsi="Arial" w:cs="Arial"/>
        </w:rPr>
        <w:t>period of up to three months</w:t>
      </w:r>
      <w:r w:rsidRPr="00483679">
        <w:rPr>
          <w:rFonts w:ascii="Arial" w:hAnsi="Arial" w:cs="Arial"/>
        </w:rPr>
        <w:t xml:space="preserve"> </w:t>
      </w:r>
      <w:r w:rsidR="002B53D6" w:rsidRPr="00483679">
        <w:rPr>
          <w:rFonts w:ascii="Arial" w:hAnsi="Arial" w:cs="Arial"/>
        </w:rPr>
        <w:t>and require</w:t>
      </w:r>
      <w:r w:rsidR="00BC5797" w:rsidRPr="00483679">
        <w:rPr>
          <w:rFonts w:ascii="Arial" w:hAnsi="Arial" w:cs="Arial"/>
        </w:rPr>
        <w:t xml:space="preserve"> </w:t>
      </w:r>
      <w:r w:rsidR="00673B82" w:rsidRPr="00483679">
        <w:rPr>
          <w:rFonts w:ascii="Arial" w:hAnsi="Arial" w:cs="Arial"/>
        </w:rPr>
        <w:t>Work-stream Executive Director</w:t>
      </w:r>
      <w:r w:rsidR="00BC5797" w:rsidRPr="00483679">
        <w:rPr>
          <w:rFonts w:ascii="Arial" w:hAnsi="Arial" w:cs="Arial"/>
        </w:rPr>
        <w:t xml:space="preserve"> </w:t>
      </w:r>
      <w:proofErr w:type="gramStart"/>
      <w:r w:rsidR="00BC5797" w:rsidRPr="00483679">
        <w:rPr>
          <w:rFonts w:ascii="Arial" w:hAnsi="Arial" w:cs="Arial"/>
        </w:rPr>
        <w:t>sign</w:t>
      </w:r>
      <w:proofErr w:type="gramEnd"/>
      <w:r w:rsidR="00BC5797" w:rsidRPr="00483679">
        <w:rPr>
          <w:rFonts w:ascii="Arial" w:hAnsi="Arial" w:cs="Arial"/>
        </w:rPr>
        <w:t xml:space="preserve"> off</w:t>
      </w:r>
      <w:r w:rsidR="002B53D6" w:rsidRPr="00483679">
        <w:rPr>
          <w:rFonts w:ascii="Arial" w:hAnsi="Arial" w:cs="Arial"/>
        </w:rPr>
        <w:t>,</w:t>
      </w:r>
      <w:r w:rsidR="00D373E9" w:rsidRPr="00483679">
        <w:rPr>
          <w:rFonts w:ascii="Arial" w:hAnsi="Arial" w:cs="Arial"/>
        </w:rPr>
        <w:t xml:space="preserve"> in writing where possible.</w:t>
      </w:r>
      <w:r w:rsidR="00715824" w:rsidRPr="00483679">
        <w:rPr>
          <w:rFonts w:ascii="Arial" w:hAnsi="Arial" w:cs="Arial"/>
        </w:rPr>
        <w:t xml:space="preserve"> </w:t>
      </w:r>
      <w:r w:rsidR="002B53D6" w:rsidRPr="00483679">
        <w:rPr>
          <w:rFonts w:ascii="Arial" w:hAnsi="Arial" w:cs="Arial"/>
        </w:rPr>
        <w:t xml:space="preserve"> </w:t>
      </w:r>
      <w:r w:rsidRPr="00483679">
        <w:rPr>
          <w:rFonts w:ascii="Arial" w:hAnsi="Arial" w:cs="Arial"/>
          <w:i/>
          <w:iCs/>
        </w:rPr>
        <w:t>Any exceptions to this must be agreed by the NCL AO and CFO acting together</w:t>
      </w:r>
      <w:r w:rsidRPr="00483679" w:rsidDel="00583E5F">
        <w:rPr>
          <w:rFonts w:ascii="Arial" w:hAnsi="Arial" w:cs="Arial"/>
        </w:rPr>
        <w:t xml:space="preserve"> </w:t>
      </w:r>
      <w:r w:rsidR="00B161F1" w:rsidRPr="00483679">
        <w:rPr>
          <w:rFonts w:ascii="Arial" w:hAnsi="Arial" w:cs="Arial"/>
        </w:rPr>
        <w:t>with written</w:t>
      </w:r>
      <w:r w:rsidRPr="00483679">
        <w:rPr>
          <w:rFonts w:ascii="Arial" w:hAnsi="Arial" w:cs="Arial"/>
        </w:rPr>
        <w:t xml:space="preserve"> approval </w:t>
      </w:r>
      <w:r w:rsidR="00D1304D" w:rsidRPr="00483679">
        <w:rPr>
          <w:rFonts w:ascii="Arial" w:hAnsi="Arial" w:cs="Arial"/>
        </w:rPr>
        <w:t>retained as audit evidence</w:t>
      </w:r>
      <w:r w:rsidR="00715824" w:rsidRPr="00483679">
        <w:rPr>
          <w:rFonts w:ascii="Arial" w:hAnsi="Arial" w:cs="Arial"/>
        </w:rPr>
        <w:t>.</w:t>
      </w:r>
      <w:r w:rsidR="0032797F" w:rsidRPr="00483679">
        <w:rPr>
          <w:rFonts w:ascii="Arial" w:hAnsi="Arial" w:cs="Arial"/>
        </w:rPr>
        <w:t xml:space="preserve"> </w:t>
      </w:r>
      <w:r w:rsidR="00673B82" w:rsidRPr="00483679">
        <w:rPr>
          <w:rFonts w:ascii="Arial" w:hAnsi="Arial" w:cs="Arial"/>
        </w:rPr>
        <w:t xml:space="preserve"> </w:t>
      </w:r>
    </w:p>
    <w:p w14:paraId="37380933" w14:textId="77777777" w:rsidR="0032797F" w:rsidRPr="00483679" w:rsidRDefault="0032797F" w:rsidP="00C461A2">
      <w:pPr>
        <w:spacing w:after="120" w:line="240" w:lineRule="auto"/>
        <w:ind w:left="567"/>
        <w:jc w:val="both"/>
        <w:rPr>
          <w:rFonts w:ascii="Arial" w:hAnsi="Arial" w:cs="Arial"/>
        </w:rPr>
      </w:pPr>
      <w:r w:rsidRPr="00483679">
        <w:rPr>
          <w:rFonts w:ascii="Arial" w:hAnsi="Arial" w:cs="Arial"/>
        </w:rPr>
        <w:t xml:space="preserve">The Public Contract Regulations 2015 </w:t>
      </w:r>
      <w:r w:rsidR="002B53D6" w:rsidRPr="00483679">
        <w:rPr>
          <w:rFonts w:ascii="Arial" w:hAnsi="Arial" w:cs="Arial"/>
        </w:rPr>
        <w:t xml:space="preserve">(‘the regulations’) </w:t>
      </w:r>
      <w:r w:rsidRPr="00483679">
        <w:rPr>
          <w:rFonts w:ascii="Arial" w:hAnsi="Arial" w:cs="Arial"/>
        </w:rPr>
        <w:t xml:space="preserve">section 32 recognise that in exceptional circumstances authorities may need to procure goods, services and works with extreme urgency via direct award, call off from an existing framework agreement, call for competition using a standard procedure with accelerated timescales or extending or modifying a contract during its term.  </w:t>
      </w:r>
    </w:p>
    <w:p w14:paraId="195F0A96" w14:textId="571A5803" w:rsidR="00A12715" w:rsidRDefault="00A12715" w:rsidP="00956C30">
      <w:pPr>
        <w:spacing w:after="120" w:line="240" w:lineRule="auto"/>
        <w:ind w:left="567"/>
        <w:jc w:val="both"/>
        <w:rPr>
          <w:rStyle w:val="Hyperlink"/>
          <w:rFonts w:ascii="Arial" w:hAnsi="Arial" w:cs="Arial"/>
        </w:rPr>
      </w:pPr>
      <w:r>
        <w:rPr>
          <w:rFonts w:ascii="Arial" w:hAnsi="Arial" w:cs="Arial"/>
        </w:rPr>
        <w:t>Contracting authorities are required to keep a written justification of their decisions.  Therefore, for procurements that is subject to the regulations (</w:t>
      </w:r>
      <w:r>
        <w:rPr>
          <w:rFonts w:ascii="Arial" w:hAnsi="Arial" w:cs="Arial"/>
          <w:color w:val="000000"/>
        </w:rPr>
        <w:t>Light Touch Regime services [Health and Social services] over £663,540</w:t>
      </w:r>
      <w:r>
        <w:rPr>
          <w:rFonts w:ascii="ArialMT" w:hAnsi="ArialMT"/>
          <w:sz w:val="24"/>
          <w:szCs w:val="24"/>
          <w:lang w:eastAsia="en-GB"/>
        </w:rPr>
        <w:t xml:space="preserve">, </w:t>
      </w:r>
      <w:r>
        <w:rPr>
          <w:rFonts w:ascii="Arial" w:hAnsi="Arial" w:cs="Arial"/>
        </w:rPr>
        <w:t xml:space="preserve">supplies, services and design contracts over </w:t>
      </w:r>
      <w:r>
        <w:rPr>
          <w:rFonts w:ascii="Arial" w:hAnsi="Arial" w:cs="Arial"/>
          <w:color w:val="000000"/>
        </w:rPr>
        <w:t>£189,330</w:t>
      </w:r>
      <w:r>
        <w:rPr>
          <w:rFonts w:ascii="ArialMT" w:hAnsi="ArialMT"/>
          <w:sz w:val="24"/>
          <w:szCs w:val="24"/>
          <w:lang w:eastAsia="en-GB"/>
        </w:rPr>
        <w:t xml:space="preserve">, </w:t>
      </w:r>
      <w:r>
        <w:rPr>
          <w:rFonts w:ascii="Arial" w:hAnsi="Arial" w:cs="Arial"/>
          <w:color w:val="000000"/>
        </w:rPr>
        <w:t>and works contracts over £4,733,252</w:t>
      </w:r>
      <w:r>
        <w:rPr>
          <w:rFonts w:ascii="Arial" w:hAnsi="Arial" w:cs="Arial"/>
        </w:rPr>
        <w:t xml:space="preserve">, all excluding VAT) advice should be taken from the procurement team – contactable via </w:t>
      </w:r>
      <w:hyperlink r:id="rId6" w:history="1">
        <w:r>
          <w:rPr>
            <w:rStyle w:val="Hyperlink"/>
            <w:rFonts w:ascii="Arial" w:hAnsi="Arial" w:cs="Arial"/>
          </w:rPr>
          <w:t>nelcsu.strategicprocurement@nhs.net</w:t>
        </w:r>
      </w:hyperlink>
      <w:r w:rsidR="00C741F1">
        <w:rPr>
          <w:rStyle w:val="Hyperlink"/>
          <w:rFonts w:ascii="Arial" w:hAnsi="Arial" w:cs="Arial"/>
          <w:color w:val="1F497D"/>
        </w:rPr>
        <w:t xml:space="preserve"> </w:t>
      </w:r>
    </w:p>
    <w:p w14:paraId="6D3AFAF0" w14:textId="77777777" w:rsidR="00EB7630" w:rsidRPr="00483679" w:rsidRDefault="00EB7630" w:rsidP="00C461A2">
      <w:pPr>
        <w:spacing w:after="120" w:line="240" w:lineRule="auto"/>
        <w:ind w:left="567"/>
        <w:jc w:val="both"/>
        <w:rPr>
          <w:rFonts w:ascii="Arial" w:hAnsi="Arial" w:cs="Arial"/>
        </w:rPr>
      </w:pPr>
      <w:r w:rsidRPr="00483679">
        <w:rPr>
          <w:rFonts w:ascii="Arial" w:hAnsi="Arial" w:cs="Arial"/>
        </w:rPr>
        <w:t xml:space="preserve">Please refer to the Procurement </w:t>
      </w:r>
      <w:r w:rsidR="004D2624" w:rsidRPr="00483679">
        <w:rPr>
          <w:rFonts w:ascii="Arial" w:hAnsi="Arial" w:cs="Arial"/>
        </w:rPr>
        <w:t xml:space="preserve">in Exceptional Circumstances for additional information. </w:t>
      </w:r>
    </w:p>
    <w:p w14:paraId="0AB9C067" w14:textId="77777777" w:rsidR="00900AFC" w:rsidRPr="00483679" w:rsidRDefault="00C15FBC" w:rsidP="00C461A2">
      <w:pPr>
        <w:spacing w:after="120" w:line="240" w:lineRule="auto"/>
        <w:ind w:left="567"/>
        <w:jc w:val="both"/>
        <w:rPr>
          <w:rFonts w:ascii="Arial" w:hAnsi="Arial" w:cs="Arial"/>
        </w:rPr>
      </w:pPr>
      <w:r w:rsidRPr="00483679">
        <w:rPr>
          <w:rFonts w:ascii="Arial" w:hAnsi="Arial" w:cs="Arial"/>
        </w:rPr>
        <w:t xml:space="preserve">Exits costs should be considered as part of the procurement/contracting process. </w:t>
      </w:r>
    </w:p>
    <w:p w14:paraId="1316E299" w14:textId="30D358E8" w:rsidR="004D2624" w:rsidRPr="00483679" w:rsidRDefault="00EC7699" w:rsidP="00C461A2">
      <w:pPr>
        <w:spacing w:after="240" w:line="240" w:lineRule="auto"/>
        <w:ind w:left="567"/>
        <w:jc w:val="both"/>
        <w:rPr>
          <w:rFonts w:ascii="Arial" w:hAnsi="Arial" w:cs="Arial"/>
        </w:rPr>
      </w:pPr>
      <w:r w:rsidRPr="00EC7699">
        <w:rPr>
          <w:rFonts w:ascii="Arial" w:hAnsi="Arial" w:cs="Arial"/>
        </w:rPr>
        <w:object w:dxaOrig="1504" w:dyaOrig="982" w14:anchorId="141FEE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85pt;height:49.2pt" o:ole="">
            <v:imagedata r:id="rId7" o:title=""/>
          </v:shape>
          <o:OLEObject Type="Embed" ProgID="PowerPoint.Show.12" ShapeID="_x0000_i1025" DrawAspect="Icon" ObjectID="_1651648956" r:id="rId8"/>
        </w:object>
      </w:r>
    </w:p>
    <w:p w14:paraId="6FFFBD61" w14:textId="77777777" w:rsidR="00710285" w:rsidRPr="00C21AD2" w:rsidRDefault="00003838" w:rsidP="00C461A2">
      <w:pPr>
        <w:pStyle w:val="ListParagraph"/>
        <w:numPr>
          <w:ilvl w:val="1"/>
          <w:numId w:val="18"/>
        </w:numPr>
        <w:spacing w:after="120"/>
        <w:ind w:left="567" w:hanging="567"/>
        <w:jc w:val="both"/>
        <w:rPr>
          <w:rFonts w:ascii="Arial" w:hAnsi="Arial" w:cs="Arial"/>
          <w:b/>
          <w:bCs/>
        </w:rPr>
      </w:pPr>
      <w:r w:rsidRPr="00C21AD2">
        <w:rPr>
          <w:rFonts w:ascii="Arial" w:hAnsi="Arial" w:cs="Arial"/>
          <w:b/>
          <w:bCs/>
        </w:rPr>
        <w:t xml:space="preserve">Consultancy, Agency Spend and Pay </w:t>
      </w:r>
    </w:p>
    <w:p w14:paraId="41111C1D" w14:textId="77777777" w:rsidR="00710285" w:rsidRPr="00483679" w:rsidRDefault="00710285" w:rsidP="00C461A2">
      <w:pPr>
        <w:spacing w:after="240" w:line="240" w:lineRule="auto"/>
        <w:ind w:left="567"/>
        <w:jc w:val="both"/>
        <w:rPr>
          <w:rFonts w:ascii="Arial" w:hAnsi="Arial" w:cs="Arial"/>
        </w:rPr>
      </w:pPr>
      <w:r w:rsidRPr="00483679">
        <w:rPr>
          <w:rFonts w:ascii="Arial" w:hAnsi="Arial" w:cs="Arial"/>
        </w:rPr>
        <w:t xml:space="preserve">In line with </w:t>
      </w:r>
      <w:proofErr w:type="gramStart"/>
      <w:r w:rsidRPr="00483679">
        <w:rPr>
          <w:rFonts w:ascii="Arial" w:hAnsi="Arial" w:cs="Arial"/>
        </w:rPr>
        <w:t>NHS</w:t>
      </w:r>
      <w:r w:rsidR="006A4B3A" w:rsidRPr="00483679">
        <w:rPr>
          <w:rFonts w:ascii="Arial" w:hAnsi="Arial" w:cs="Arial"/>
        </w:rPr>
        <w:t>E</w:t>
      </w:r>
      <w:r w:rsidRPr="00483679">
        <w:rPr>
          <w:rFonts w:ascii="Arial" w:hAnsi="Arial" w:cs="Arial"/>
        </w:rPr>
        <w:t>/</w:t>
      </w:r>
      <w:r w:rsidR="006A4B3A" w:rsidRPr="00483679">
        <w:rPr>
          <w:rFonts w:ascii="Arial" w:hAnsi="Arial" w:cs="Arial"/>
        </w:rPr>
        <w:t>I</w:t>
      </w:r>
      <w:proofErr w:type="gramEnd"/>
      <w:r w:rsidRPr="00483679">
        <w:rPr>
          <w:rFonts w:ascii="Arial" w:hAnsi="Arial" w:cs="Arial"/>
        </w:rPr>
        <w:t xml:space="preserve"> guidance consultancy and agency approvals will be maintained in line with normal financial controls.</w:t>
      </w:r>
      <w:r w:rsidR="00003838" w:rsidRPr="00483679">
        <w:rPr>
          <w:rFonts w:ascii="Arial" w:hAnsi="Arial" w:cs="Arial"/>
        </w:rPr>
        <w:t xml:space="preserve">  The usual NCL WAP process remains in place during the COVID-19 period.  </w:t>
      </w:r>
    </w:p>
    <w:p w14:paraId="48705156" w14:textId="77777777" w:rsidR="003876B7" w:rsidRPr="00483679" w:rsidRDefault="003876B7" w:rsidP="00C21AD2">
      <w:pPr>
        <w:pStyle w:val="ListParagraph"/>
        <w:numPr>
          <w:ilvl w:val="1"/>
          <w:numId w:val="18"/>
        </w:numPr>
        <w:spacing w:after="120"/>
        <w:ind w:left="567" w:hanging="567"/>
        <w:jc w:val="both"/>
        <w:rPr>
          <w:rFonts w:ascii="Arial" w:hAnsi="Arial" w:cs="Arial"/>
          <w:b/>
          <w:bCs/>
        </w:rPr>
      </w:pPr>
      <w:r w:rsidRPr="00483679">
        <w:rPr>
          <w:rFonts w:ascii="Arial" w:hAnsi="Arial" w:cs="Arial"/>
          <w:b/>
          <w:bCs/>
        </w:rPr>
        <w:t>Business Cases/Non COVID-19 related investment</w:t>
      </w:r>
    </w:p>
    <w:p w14:paraId="17ED310D" w14:textId="77777777" w:rsidR="003876B7" w:rsidRPr="00483679" w:rsidRDefault="003876B7" w:rsidP="00C461A2">
      <w:pPr>
        <w:spacing w:after="240" w:line="240" w:lineRule="auto"/>
        <w:ind w:left="567"/>
        <w:jc w:val="both"/>
        <w:rPr>
          <w:rFonts w:ascii="Arial" w:hAnsi="Arial" w:cs="Arial"/>
        </w:rPr>
      </w:pPr>
      <w:r w:rsidRPr="00483679">
        <w:rPr>
          <w:rFonts w:ascii="Arial" w:hAnsi="Arial" w:cs="Arial"/>
        </w:rPr>
        <w:t>NHS</w:t>
      </w:r>
      <w:r w:rsidR="006A4B3A" w:rsidRPr="00483679">
        <w:rPr>
          <w:rFonts w:ascii="Arial" w:hAnsi="Arial" w:cs="Arial"/>
        </w:rPr>
        <w:t>E</w:t>
      </w:r>
      <w:r w:rsidRPr="00483679">
        <w:rPr>
          <w:rFonts w:ascii="Arial" w:hAnsi="Arial" w:cs="Arial"/>
        </w:rPr>
        <w:t>/</w:t>
      </w:r>
      <w:r w:rsidR="006A4B3A" w:rsidRPr="00483679">
        <w:rPr>
          <w:rFonts w:ascii="Arial" w:hAnsi="Arial" w:cs="Arial"/>
        </w:rPr>
        <w:t>I</w:t>
      </w:r>
      <w:r w:rsidRPr="00483679">
        <w:rPr>
          <w:rFonts w:ascii="Arial" w:hAnsi="Arial" w:cs="Arial"/>
        </w:rPr>
        <w:t xml:space="preserve"> Guidance is that no new revenue business investments should be entered into unless related to Covid-19 or unless approved by NHSE/I as consistent with a previously agreed plan. Therefore there should be no new investments, or implementation of previously approved but not yet started investments, unless directly Covid-19 related, until the end of quarter one.  This will be reviewed periodically</w:t>
      </w:r>
      <w:r w:rsidR="00583E5F" w:rsidRPr="00483679">
        <w:rPr>
          <w:rFonts w:ascii="Arial" w:hAnsi="Arial" w:cs="Arial"/>
        </w:rPr>
        <w:t xml:space="preserve">. </w:t>
      </w:r>
      <w:r w:rsidR="00583E5F" w:rsidRPr="00483679">
        <w:rPr>
          <w:rFonts w:ascii="Arial" w:hAnsi="Arial" w:cs="Arial"/>
          <w:i/>
          <w:iCs/>
        </w:rPr>
        <w:t>Any exceptions to this must be agreed by the NCL AO and CFO acting together</w:t>
      </w:r>
      <w:r w:rsidR="00583E5F" w:rsidRPr="00483679" w:rsidDel="00583E5F">
        <w:rPr>
          <w:rFonts w:ascii="Arial" w:hAnsi="Arial" w:cs="Arial"/>
        </w:rPr>
        <w:t xml:space="preserve"> </w:t>
      </w:r>
      <w:r w:rsidR="00B161F1" w:rsidRPr="00483679">
        <w:rPr>
          <w:rFonts w:ascii="Arial" w:hAnsi="Arial" w:cs="Arial"/>
        </w:rPr>
        <w:t xml:space="preserve">with written </w:t>
      </w:r>
      <w:r w:rsidR="00583E5F" w:rsidRPr="00483679">
        <w:rPr>
          <w:rFonts w:ascii="Arial" w:hAnsi="Arial" w:cs="Arial"/>
        </w:rPr>
        <w:t>approval</w:t>
      </w:r>
    </w:p>
    <w:p w14:paraId="017F8D47" w14:textId="77777777" w:rsidR="0032797F" w:rsidRPr="00483679" w:rsidRDefault="0032797F" w:rsidP="00C21AD2">
      <w:pPr>
        <w:pStyle w:val="ListParagraph"/>
        <w:numPr>
          <w:ilvl w:val="1"/>
          <w:numId w:val="18"/>
        </w:numPr>
        <w:spacing w:after="120"/>
        <w:ind w:left="567" w:hanging="567"/>
        <w:jc w:val="both"/>
        <w:rPr>
          <w:rFonts w:ascii="Arial" w:hAnsi="Arial" w:cs="Arial"/>
          <w:b/>
          <w:bCs/>
        </w:rPr>
      </w:pPr>
      <w:r w:rsidRPr="00483679">
        <w:rPr>
          <w:rFonts w:ascii="Arial" w:hAnsi="Arial" w:cs="Arial"/>
          <w:b/>
          <w:bCs/>
        </w:rPr>
        <w:t>Delegation of authority in case of absence</w:t>
      </w:r>
    </w:p>
    <w:p w14:paraId="155B9032" w14:textId="77777777" w:rsidR="0032797F" w:rsidRPr="00483679" w:rsidRDefault="0032797F" w:rsidP="00C461A2">
      <w:pPr>
        <w:spacing w:after="240" w:line="240" w:lineRule="auto"/>
        <w:ind w:left="567"/>
        <w:jc w:val="both"/>
        <w:rPr>
          <w:rFonts w:ascii="Arial" w:hAnsi="Arial" w:cs="Arial"/>
        </w:rPr>
      </w:pPr>
      <w:r w:rsidRPr="00483679">
        <w:rPr>
          <w:rFonts w:ascii="Arial" w:hAnsi="Arial" w:cs="Arial"/>
        </w:rPr>
        <w:t xml:space="preserve">Where </w:t>
      </w:r>
      <w:r w:rsidR="00D1304D" w:rsidRPr="00483679">
        <w:rPr>
          <w:rFonts w:ascii="Arial" w:hAnsi="Arial" w:cs="Arial"/>
        </w:rPr>
        <w:t>an</w:t>
      </w:r>
      <w:r w:rsidR="00AA1BC1" w:rsidRPr="00483679">
        <w:rPr>
          <w:rFonts w:ascii="Arial" w:hAnsi="Arial" w:cs="Arial"/>
        </w:rPr>
        <w:t xml:space="preserve"> Executive Director</w:t>
      </w:r>
      <w:r w:rsidRPr="00483679">
        <w:rPr>
          <w:rFonts w:ascii="Arial" w:hAnsi="Arial" w:cs="Arial"/>
        </w:rPr>
        <w:t xml:space="preserve"> is absent due to sickness or annual leave they may assign authorisation responsibilities to a named</w:t>
      </w:r>
      <w:r w:rsidR="00D1304D" w:rsidRPr="00483679">
        <w:rPr>
          <w:rFonts w:ascii="Arial" w:hAnsi="Arial" w:cs="Arial"/>
        </w:rPr>
        <w:t xml:space="preserve"> deputy for the period of their absence only.</w:t>
      </w:r>
      <w:r w:rsidR="00CB7E24" w:rsidRPr="00483679">
        <w:rPr>
          <w:rFonts w:ascii="Arial" w:hAnsi="Arial" w:cs="Arial"/>
        </w:rPr>
        <w:t xml:space="preserve">  Nominated deputies should be pre-agreed as appropriately qualified to deputise by the Executive Board members.</w:t>
      </w:r>
      <w:r w:rsidR="00AA1BC1" w:rsidRPr="00483679">
        <w:rPr>
          <w:rFonts w:ascii="Arial" w:hAnsi="Arial" w:cs="Arial"/>
        </w:rPr>
        <w:t xml:space="preserve">  </w:t>
      </w:r>
      <w:r w:rsidR="00AA1BC1" w:rsidRPr="00CF51F5">
        <w:rPr>
          <w:rFonts w:ascii="Arial" w:hAnsi="Arial" w:cs="Arial"/>
        </w:rPr>
        <w:t>For the named nominated Deputy to the Accountable Officer (AO), should be ratified by the Governing Body Chair.</w:t>
      </w:r>
      <w:r w:rsidR="00AA1BC1" w:rsidRPr="00483679">
        <w:rPr>
          <w:rFonts w:ascii="Arial" w:hAnsi="Arial" w:cs="Arial"/>
        </w:rPr>
        <w:t xml:space="preserve"> </w:t>
      </w:r>
    </w:p>
    <w:p w14:paraId="74B798DE" w14:textId="77777777" w:rsidR="00246FA6" w:rsidRPr="00C21AD2" w:rsidRDefault="00E403ED" w:rsidP="00C21AD2">
      <w:pPr>
        <w:pStyle w:val="ListParagraph"/>
        <w:numPr>
          <w:ilvl w:val="0"/>
          <w:numId w:val="4"/>
        </w:numPr>
        <w:spacing w:after="120"/>
        <w:ind w:left="567" w:hanging="567"/>
        <w:jc w:val="both"/>
        <w:rPr>
          <w:rFonts w:ascii="Arial" w:hAnsi="Arial" w:cs="Arial"/>
          <w:b/>
          <w:bCs/>
        </w:rPr>
      </w:pPr>
      <w:r w:rsidRPr="00C21AD2">
        <w:rPr>
          <w:rFonts w:ascii="Arial" w:hAnsi="Arial" w:cs="Arial"/>
          <w:b/>
          <w:bCs/>
        </w:rPr>
        <w:t>M</w:t>
      </w:r>
      <w:r w:rsidR="00246FA6" w:rsidRPr="00C21AD2">
        <w:rPr>
          <w:rFonts w:ascii="Arial" w:hAnsi="Arial" w:cs="Arial"/>
          <w:b/>
          <w:bCs/>
        </w:rPr>
        <w:t>onitoring</w:t>
      </w:r>
      <w:r w:rsidRPr="00C21AD2">
        <w:rPr>
          <w:rFonts w:ascii="Arial" w:hAnsi="Arial" w:cs="Arial"/>
          <w:b/>
          <w:bCs/>
        </w:rPr>
        <w:t xml:space="preserve"> arrangements</w:t>
      </w:r>
    </w:p>
    <w:p w14:paraId="427065A9" w14:textId="77777777" w:rsidR="002B0423" w:rsidRPr="00483679" w:rsidRDefault="0013295E" w:rsidP="00C461A2">
      <w:pPr>
        <w:spacing w:after="240" w:line="240" w:lineRule="auto"/>
        <w:ind w:left="567"/>
        <w:jc w:val="both"/>
        <w:rPr>
          <w:rFonts w:ascii="Arial" w:hAnsi="Arial" w:cs="Arial"/>
        </w:rPr>
      </w:pPr>
      <w:r w:rsidRPr="00483679">
        <w:rPr>
          <w:rFonts w:ascii="Arial" w:hAnsi="Arial" w:cs="Arial"/>
        </w:rPr>
        <w:t>NHS</w:t>
      </w:r>
      <w:r w:rsidR="006A4B3A" w:rsidRPr="00483679">
        <w:rPr>
          <w:rFonts w:ascii="Arial" w:hAnsi="Arial" w:cs="Arial"/>
        </w:rPr>
        <w:t>E</w:t>
      </w:r>
      <w:r w:rsidRPr="00483679">
        <w:rPr>
          <w:rFonts w:ascii="Arial" w:hAnsi="Arial" w:cs="Arial"/>
        </w:rPr>
        <w:t>/</w:t>
      </w:r>
      <w:r w:rsidR="006A4B3A" w:rsidRPr="00483679">
        <w:rPr>
          <w:rFonts w:ascii="Arial" w:hAnsi="Arial" w:cs="Arial"/>
        </w:rPr>
        <w:t>I</w:t>
      </w:r>
      <w:r w:rsidRPr="00483679">
        <w:rPr>
          <w:rFonts w:ascii="Arial" w:hAnsi="Arial" w:cs="Arial"/>
        </w:rPr>
        <w:t xml:space="preserve"> has set out the expectation that all </w:t>
      </w:r>
      <w:r w:rsidR="00C14FFD" w:rsidRPr="00483679">
        <w:rPr>
          <w:rFonts w:ascii="Arial" w:hAnsi="Arial" w:cs="Arial"/>
        </w:rPr>
        <w:t>CCGs</w:t>
      </w:r>
      <w:r w:rsidRPr="00483679">
        <w:rPr>
          <w:rFonts w:ascii="Arial" w:hAnsi="Arial" w:cs="Arial"/>
        </w:rPr>
        <w:t xml:space="preserve"> will carefully record costs incurred in responding</w:t>
      </w:r>
      <w:r w:rsidR="007C5FFD" w:rsidRPr="00483679">
        <w:rPr>
          <w:rFonts w:ascii="Arial" w:hAnsi="Arial" w:cs="Arial"/>
        </w:rPr>
        <w:t xml:space="preserve"> to</w:t>
      </w:r>
      <w:r w:rsidR="00B161F1" w:rsidRPr="00483679">
        <w:rPr>
          <w:rFonts w:ascii="Arial" w:hAnsi="Arial" w:cs="Arial"/>
        </w:rPr>
        <w:t xml:space="preserve"> the outbreak. T</w:t>
      </w:r>
      <w:r w:rsidR="003062E1" w:rsidRPr="00483679">
        <w:rPr>
          <w:rFonts w:ascii="Arial" w:hAnsi="Arial" w:cs="Arial"/>
        </w:rPr>
        <w:t>he CCG</w:t>
      </w:r>
      <w:r w:rsidRPr="00483679">
        <w:rPr>
          <w:rFonts w:ascii="Arial" w:hAnsi="Arial" w:cs="Arial"/>
        </w:rPr>
        <w:t xml:space="preserve"> will be required to report costs incurred monthly. </w:t>
      </w:r>
      <w:r w:rsidR="00FB6BE3" w:rsidRPr="00483679">
        <w:rPr>
          <w:rFonts w:ascii="Arial" w:hAnsi="Arial" w:cs="Arial"/>
        </w:rPr>
        <w:t>The CCG</w:t>
      </w:r>
      <w:r w:rsidR="00B161F1" w:rsidRPr="00483679">
        <w:rPr>
          <w:rFonts w:ascii="Arial" w:hAnsi="Arial" w:cs="Arial"/>
        </w:rPr>
        <w:t xml:space="preserve"> </w:t>
      </w:r>
      <w:r w:rsidR="003D0C2F" w:rsidRPr="00483679">
        <w:rPr>
          <w:rFonts w:ascii="Arial" w:hAnsi="Arial" w:cs="Arial"/>
        </w:rPr>
        <w:t>will require an audit trail for any cost reimbursement by NHS</w:t>
      </w:r>
      <w:r w:rsidR="006A4B3A" w:rsidRPr="00483679">
        <w:rPr>
          <w:rFonts w:ascii="Arial" w:hAnsi="Arial" w:cs="Arial"/>
        </w:rPr>
        <w:t>E/</w:t>
      </w:r>
      <w:r w:rsidR="003D0C2F" w:rsidRPr="00483679">
        <w:rPr>
          <w:rFonts w:ascii="Arial" w:hAnsi="Arial" w:cs="Arial"/>
        </w:rPr>
        <w:t xml:space="preserve">I. This section sets out the core process the </w:t>
      </w:r>
      <w:r w:rsidR="00A91B11" w:rsidRPr="00483679">
        <w:rPr>
          <w:rFonts w:ascii="Arial" w:hAnsi="Arial" w:cs="Arial"/>
        </w:rPr>
        <w:t>CCG</w:t>
      </w:r>
      <w:r w:rsidR="003D0C2F" w:rsidRPr="00483679">
        <w:rPr>
          <w:rFonts w:ascii="Arial" w:hAnsi="Arial" w:cs="Arial"/>
        </w:rPr>
        <w:t xml:space="preserve"> w</w:t>
      </w:r>
      <w:r w:rsidRPr="00483679">
        <w:rPr>
          <w:rFonts w:ascii="Arial" w:hAnsi="Arial" w:cs="Arial"/>
        </w:rPr>
        <w:t>i</w:t>
      </w:r>
      <w:r w:rsidR="003D0C2F" w:rsidRPr="00483679">
        <w:rPr>
          <w:rFonts w:ascii="Arial" w:hAnsi="Arial" w:cs="Arial"/>
        </w:rPr>
        <w:t>ll use to ensure costs are captured appropriately.</w:t>
      </w:r>
    </w:p>
    <w:p w14:paraId="6CF8E0EE" w14:textId="77777777" w:rsidR="00E403ED" w:rsidRPr="00483679" w:rsidRDefault="003D0C2F" w:rsidP="00C21AD2">
      <w:pPr>
        <w:pStyle w:val="ListParagraph"/>
        <w:numPr>
          <w:ilvl w:val="1"/>
          <w:numId w:val="4"/>
        </w:numPr>
        <w:spacing w:after="120"/>
        <w:ind w:left="567" w:hanging="567"/>
        <w:jc w:val="both"/>
        <w:rPr>
          <w:rFonts w:ascii="Arial" w:hAnsi="Arial" w:cs="Arial"/>
          <w:b/>
          <w:bCs/>
        </w:rPr>
      </w:pPr>
      <w:r w:rsidRPr="00483679">
        <w:rPr>
          <w:rFonts w:ascii="Arial" w:hAnsi="Arial" w:cs="Arial"/>
          <w:b/>
          <w:bCs/>
        </w:rPr>
        <w:t>Expenditure</w:t>
      </w:r>
    </w:p>
    <w:p w14:paraId="357F7146" w14:textId="1F669EE9" w:rsidR="000000C6" w:rsidRPr="000000C6" w:rsidRDefault="000000C6" w:rsidP="000000C6">
      <w:pPr>
        <w:pStyle w:val="ListParagraph"/>
        <w:spacing w:after="120"/>
        <w:ind w:left="567"/>
        <w:jc w:val="both"/>
        <w:rPr>
          <w:rFonts w:ascii="Arial" w:hAnsi="Arial" w:cs="Arial"/>
        </w:rPr>
      </w:pPr>
      <w:r>
        <w:rPr>
          <w:rFonts w:ascii="Arial" w:hAnsi="Arial" w:cs="Arial"/>
        </w:rPr>
        <w:t>A</w:t>
      </w:r>
      <w:r w:rsidRPr="000000C6">
        <w:rPr>
          <w:rFonts w:ascii="Arial" w:hAnsi="Arial" w:cs="Arial"/>
        </w:rPr>
        <w:t xml:space="preserve">ny direct costs associated with COVID-19 invoices these should be approved and coded within cost centres with the Analysis 1 code </w:t>
      </w:r>
      <w:r w:rsidRPr="000000C6">
        <w:rPr>
          <w:rFonts w:ascii="Arial" w:hAnsi="Arial" w:cs="Arial"/>
          <w:color w:val="1F497D"/>
        </w:rPr>
        <w:t>P4206</w:t>
      </w:r>
      <w:r w:rsidRPr="000000C6">
        <w:rPr>
          <w:rFonts w:ascii="Arial" w:hAnsi="Arial" w:cs="Arial"/>
        </w:rPr>
        <w:t xml:space="preserve"> – COVID19.  This has been linked to </w:t>
      </w:r>
      <w:proofErr w:type="gramStart"/>
      <w:r w:rsidRPr="000000C6">
        <w:rPr>
          <w:rFonts w:ascii="Arial" w:hAnsi="Arial" w:cs="Arial"/>
        </w:rPr>
        <w:t>identified</w:t>
      </w:r>
      <w:proofErr w:type="gramEnd"/>
      <w:r w:rsidRPr="000000C6">
        <w:rPr>
          <w:rFonts w:ascii="Arial" w:hAnsi="Arial" w:cs="Arial"/>
        </w:rPr>
        <w:t xml:space="preserve"> cost centres.  When raising a purchase order or coding any non-PO invoices relating </w:t>
      </w:r>
      <w:r w:rsidRPr="000000C6">
        <w:rPr>
          <w:rFonts w:ascii="Arial" w:hAnsi="Arial" w:cs="Arial"/>
        </w:rPr>
        <w:lastRenderedPageBreak/>
        <w:t>to these costs please ensure you use</w:t>
      </w:r>
      <w:r w:rsidRPr="000000C6">
        <w:rPr>
          <w:rFonts w:ascii="Arial" w:hAnsi="Arial" w:cs="Arial"/>
          <w:color w:val="1F497D"/>
        </w:rPr>
        <w:t xml:space="preserve">: </w:t>
      </w:r>
      <w:r w:rsidRPr="000000C6">
        <w:rPr>
          <w:rFonts w:ascii="Arial" w:hAnsi="Arial" w:cs="Arial"/>
        </w:rPr>
        <w:t> 93CN-Cost Centre-Subjective Code-P4206-Anaylsis 2-Analysis 3.</w:t>
      </w:r>
    </w:p>
    <w:p w14:paraId="75294E50" w14:textId="77777777" w:rsidR="000000C6" w:rsidRPr="000000C6" w:rsidRDefault="000000C6" w:rsidP="000000C6">
      <w:pPr>
        <w:pStyle w:val="ListParagraph"/>
        <w:spacing w:after="120"/>
        <w:ind w:left="567"/>
        <w:jc w:val="both"/>
        <w:rPr>
          <w:rFonts w:ascii="Arial" w:hAnsi="Arial" w:cs="Arial"/>
        </w:rPr>
      </w:pPr>
      <w:r w:rsidRPr="000000C6">
        <w:rPr>
          <w:rFonts w:ascii="Arial" w:hAnsi="Arial" w:cs="Arial"/>
        </w:rPr>
        <w:t xml:space="preserve">If the analysis code is not available to the relevant cost centre this should be sent to SBS helpdesk </w:t>
      </w:r>
      <w:hyperlink r:id="rId9" w:history="1">
        <w:r w:rsidRPr="000000C6">
          <w:rPr>
            <w:rStyle w:val="Hyperlink"/>
            <w:rFonts w:ascii="Arial" w:hAnsi="Arial" w:cs="Arial"/>
          </w:rPr>
          <w:t>NHSSBSHelpdesk@rmh.nhs.uk</w:t>
        </w:r>
      </w:hyperlink>
      <w:r w:rsidRPr="000000C6">
        <w:rPr>
          <w:rFonts w:ascii="Arial" w:hAnsi="Arial" w:cs="Arial"/>
          <w:color w:val="FF0000"/>
        </w:rPr>
        <w:t xml:space="preserve"> </w:t>
      </w:r>
      <w:r w:rsidRPr="000000C6">
        <w:rPr>
          <w:rFonts w:ascii="Arial" w:hAnsi="Arial" w:cs="Arial"/>
        </w:rPr>
        <w:t>and the analysis code will be linked to the appropriate cost centre.</w:t>
      </w:r>
    </w:p>
    <w:p w14:paraId="56DD79D0" w14:textId="77777777" w:rsidR="009546F7" w:rsidRPr="00483679" w:rsidRDefault="009546F7" w:rsidP="00C21AD2">
      <w:pPr>
        <w:spacing w:after="120" w:line="240" w:lineRule="auto"/>
        <w:ind w:left="567"/>
        <w:jc w:val="both"/>
        <w:rPr>
          <w:rFonts w:ascii="Arial" w:hAnsi="Arial" w:cs="Arial"/>
        </w:rPr>
      </w:pPr>
      <w:r w:rsidRPr="00483679">
        <w:rPr>
          <w:rFonts w:ascii="Arial" w:hAnsi="Arial" w:cs="Arial"/>
        </w:rPr>
        <w:t>COVID-19 related staff sickness a</w:t>
      </w:r>
      <w:r w:rsidR="002B0423" w:rsidRPr="00483679">
        <w:rPr>
          <w:rFonts w:ascii="Arial" w:hAnsi="Arial" w:cs="Arial"/>
        </w:rPr>
        <w:t>nd absence will be captured via the Workforce System</w:t>
      </w:r>
    </w:p>
    <w:p w14:paraId="0996FEC0" w14:textId="77777777" w:rsidR="00CF51F5" w:rsidRDefault="00CF51F5" w:rsidP="00C21AD2">
      <w:pPr>
        <w:spacing w:after="120" w:line="240" w:lineRule="auto"/>
        <w:ind w:left="567"/>
        <w:jc w:val="both"/>
        <w:rPr>
          <w:rFonts w:ascii="Arial" w:hAnsi="Arial" w:cs="Arial"/>
        </w:rPr>
      </w:pPr>
      <w:r>
        <w:rPr>
          <w:rFonts w:ascii="Arial" w:hAnsi="Arial" w:cs="Arial"/>
        </w:rPr>
        <w:t>Staff remuneration for p</w:t>
      </w:r>
      <w:r w:rsidR="002B0423" w:rsidRPr="00CF51F5">
        <w:rPr>
          <w:rFonts w:ascii="Arial" w:hAnsi="Arial" w:cs="Arial"/>
        </w:rPr>
        <w:t>aid overtime will be captured via</w:t>
      </w:r>
      <w:r>
        <w:rPr>
          <w:rFonts w:ascii="Arial" w:hAnsi="Arial" w:cs="Arial"/>
        </w:rPr>
        <w:t xml:space="preserve"> timesheet</w:t>
      </w:r>
      <w:r w:rsidRPr="00CF51F5">
        <w:rPr>
          <w:rFonts w:ascii="Arial" w:hAnsi="Arial" w:cs="Arial"/>
        </w:rPr>
        <w:t xml:space="preserve">.  Please </w:t>
      </w:r>
      <w:r>
        <w:rPr>
          <w:rFonts w:ascii="Arial" w:hAnsi="Arial" w:cs="Arial"/>
        </w:rPr>
        <w:t>refer to e</w:t>
      </w:r>
      <w:r w:rsidRPr="00CF51F5">
        <w:rPr>
          <w:rFonts w:ascii="Arial" w:hAnsi="Arial" w:cs="Arial"/>
        </w:rPr>
        <w:t>mbedded COVI</w:t>
      </w:r>
      <w:r>
        <w:rPr>
          <w:rFonts w:ascii="Arial" w:hAnsi="Arial" w:cs="Arial"/>
        </w:rPr>
        <w:t xml:space="preserve">D19 Staff Remuneration document for further details. </w:t>
      </w:r>
    </w:p>
    <w:bookmarkStart w:id="1" w:name="_MON_1647333313"/>
    <w:bookmarkEnd w:id="1"/>
    <w:p w14:paraId="260A3068" w14:textId="65858194" w:rsidR="00CF51F5" w:rsidRPr="00483679" w:rsidRDefault="00B242F5" w:rsidP="00CF51F5">
      <w:pPr>
        <w:spacing w:after="120" w:line="240" w:lineRule="auto"/>
        <w:ind w:firstLine="567"/>
        <w:jc w:val="both"/>
        <w:rPr>
          <w:rFonts w:ascii="Arial" w:hAnsi="Arial" w:cs="Arial"/>
          <w:color w:val="FF0000"/>
        </w:rPr>
      </w:pPr>
      <w:r>
        <w:rPr>
          <w:rFonts w:ascii="Arial" w:hAnsi="Arial" w:cs="Arial"/>
          <w:color w:val="FF0000"/>
        </w:rPr>
        <w:object w:dxaOrig="1504" w:dyaOrig="982" w14:anchorId="4DC8EF3E">
          <v:shape id="_x0000_i1026" type="#_x0000_t75" style="width:74.85pt;height:49.2pt" o:ole="">
            <v:imagedata r:id="rId10" o:title=""/>
          </v:shape>
          <o:OLEObject Type="Embed" ProgID="Word.Document.12" ShapeID="_x0000_i1026" DrawAspect="Icon" ObjectID="_1651648957" r:id="rId11">
            <o:FieldCodes>\s</o:FieldCodes>
          </o:OLEObject>
        </w:object>
      </w:r>
    </w:p>
    <w:p w14:paraId="6FEFC35F" w14:textId="44CF477F" w:rsidR="008617FB" w:rsidRDefault="002B0423" w:rsidP="00CF51F5">
      <w:pPr>
        <w:spacing w:after="0" w:line="240" w:lineRule="auto"/>
        <w:ind w:left="567"/>
        <w:rPr>
          <w:rFonts w:ascii="Arial" w:hAnsi="Arial" w:cs="Arial"/>
        </w:rPr>
      </w:pPr>
      <w:r w:rsidRPr="00CF51F5">
        <w:rPr>
          <w:rFonts w:ascii="Arial" w:hAnsi="Arial" w:cs="Arial"/>
          <w:color w:val="000000" w:themeColor="text1"/>
        </w:rPr>
        <w:t xml:space="preserve">Redeployment / Staff Volunteering  </w:t>
      </w:r>
      <w:r w:rsidR="009021A8" w:rsidRPr="00CF51F5">
        <w:rPr>
          <w:rFonts w:ascii="Arial" w:hAnsi="Arial" w:cs="Arial"/>
          <w:color w:val="000000" w:themeColor="text1"/>
        </w:rPr>
        <w:t xml:space="preserve"> – </w:t>
      </w:r>
      <w:r w:rsidR="00CF51F5" w:rsidRPr="00CF51F5">
        <w:rPr>
          <w:rFonts w:ascii="Arial" w:hAnsi="Arial" w:cs="Arial"/>
          <w:color w:val="000000" w:themeColor="text1"/>
        </w:rPr>
        <w:t xml:space="preserve">Please </w:t>
      </w:r>
      <w:r w:rsidR="00CF51F5">
        <w:rPr>
          <w:rFonts w:ascii="Arial" w:hAnsi="Arial" w:cs="Arial"/>
          <w:color w:val="000000" w:themeColor="text1"/>
        </w:rPr>
        <w:t xml:space="preserve">refer </w:t>
      </w:r>
      <w:r w:rsidR="00CF51F5" w:rsidRPr="00CF51F5">
        <w:rPr>
          <w:rFonts w:ascii="Arial" w:hAnsi="Arial" w:cs="Arial"/>
          <w:color w:val="000000" w:themeColor="text1"/>
        </w:rPr>
        <w:t xml:space="preserve">embedded </w:t>
      </w:r>
      <w:r w:rsidR="00CF51F5" w:rsidRPr="00CF51F5">
        <w:rPr>
          <w:rFonts w:ascii="Arial" w:hAnsi="Arial" w:cs="Arial"/>
        </w:rPr>
        <w:t>HR Guidance: Managing Requests for Resource to Support COVID-19</w:t>
      </w:r>
      <w:r w:rsidR="00CF51F5">
        <w:rPr>
          <w:rFonts w:ascii="Arial" w:hAnsi="Arial" w:cs="Arial"/>
        </w:rPr>
        <w:t xml:space="preserve"> </w:t>
      </w:r>
      <w:r w:rsidR="00CF51F5" w:rsidRPr="00CF51F5">
        <w:rPr>
          <w:rFonts w:ascii="Arial" w:hAnsi="Arial" w:cs="Arial"/>
        </w:rPr>
        <w:t xml:space="preserve">Priorities </w:t>
      </w:r>
      <w:proofErr w:type="gramStart"/>
      <w:r w:rsidR="00CF51F5" w:rsidRPr="00CF51F5">
        <w:rPr>
          <w:rFonts w:ascii="Arial" w:hAnsi="Arial" w:cs="Arial"/>
        </w:rPr>
        <w:t>From</w:t>
      </w:r>
      <w:proofErr w:type="gramEnd"/>
      <w:r w:rsidR="00CF51F5" w:rsidRPr="00CF51F5">
        <w:rPr>
          <w:rFonts w:ascii="Arial" w:hAnsi="Arial" w:cs="Arial"/>
        </w:rPr>
        <w:t xml:space="preserve"> External Organisations</w:t>
      </w:r>
      <w:r w:rsidR="00CF51F5">
        <w:rPr>
          <w:rFonts w:ascii="Arial" w:hAnsi="Arial" w:cs="Arial"/>
        </w:rPr>
        <w:t xml:space="preserve"> for further details. </w:t>
      </w:r>
    </w:p>
    <w:p w14:paraId="5EF6A661" w14:textId="77777777" w:rsidR="00EC7699" w:rsidRDefault="00EC7699" w:rsidP="00CF51F5">
      <w:pPr>
        <w:spacing w:after="0" w:line="240" w:lineRule="auto"/>
        <w:ind w:left="567"/>
        <w:rPr>
          <w:rFonts w:ascii="Arial" w:hAnsi="Arial" w:cs="Arial"/>
        </w:rPr>
      </w:pPr>
    </w:p>
    <w:bookmarkStart w:id="2" w:name="_MON_1647333286"/>
    <w:bookmarkEnd w:id="2"/>
    <w:p w14:paraId="5C2704B1" w14:textId="1B4E5814" w:rsidR="00CF51F5" w:rsidRDefault="00B242F5" w:rsidP="003610D0">
      <w:pPr>
        <w:spacing w:after="0" w:line="240" w:lineRule="auto"/>
        <w:ind w:left="567"/>
        <w:rPr>
          <w:rFonts w:ascii="Arial" w:hAnsi="Arial" w:cs="Arial"/>
        </w:rPr>
      </w:pPr>
      <w:r>
        <w:rPr>
          <w:rFonts w:ascii="Arial" w:hAnsi="Arial" w:cs="Arial"/>
        </w:rPr>
        <w:object w:dxaOrig="1504" w:dyaOrig="982" w14:anchorId="2795BF0C">
          <v:shape id="_x0000_i1027" type="#_x0000_t75" style="width:74.85pt;height:49.2pt" o:ole="">
            <v:imagedata r:id="rId12" o:title=""/>
          </v:shape>
          <o:OLEObject Type="Embed" ProgID="Word.Document.12" ShapeID="_x0000_i1027" DrawAspect="Icon" ObjectID="_1651648958" r:id="rId13">
            <o:FieldCodes>\s</o:FieldCodes>
          </o:OLEObject>
        </w:object>
      </w:r>
    </w:p>
    <w:p w14:paraId="74788348" w14:textId="77777777" w:rsidR="00CF51F5" w:rsidRPr="00483679" w:rsidRDefault="00CF51F5" w:rsidP="00CF51F5">
      <w:pPr>
        <w:spacing w:after="0" w:line="240" w:lineRule="auto"/>
        <w:rPr>
          <w:rFonts w:ascii="Arial" w:hAnsi="Arial" w:cs="Arial"/>
        </w:rPr>
      </w:pPr>
    </w:p>
    <w:p w14:paraId="4E51645B" w14:textId="77777777" w:rsidR="008617FB" w:rsidRPr="00C21AD2" w:rsidRDefault="003266B1" w:rsidP="00C21AD2">
      <w:pPr>
        <w:pStyle w:val="ListParagraph"/>
        <w:numPr>
          <w:ilvl w:val="0"/>
          <w:numId w:val="4"/>
        </w:numPr>
        <w:spacing w:after="120"/>
        <w:ind w:left="567" w:hanging="567"/>
        <w:jc w:val="both"/>
        <w:rPr>
          <w:rFonts w:ascii="Arial" w:hAnsi="Arial" w:cs="Arial"/>
          <w:b/>
        </w:rPr>
      </w:pPr>
      <w:r w:rsidRPr="00C21AD2">
        <w:rPr>
          <w:rFonts w:ascii="Arial" w:hAnsi="Arial" w:cs="Arial"/>
          <w:b/>
        </w:rPr>
        <w:t>Financial Decision &amp; Cost Reimbursement Template</w:t>
      </w:r>
    </w:p>
    <w:p w14:paraId="2383D2FF" w14:textId="344E8DD4" w:rsidR="003266B1" w:rsidRPr="00483679" w:rsidRDefault="008617FB" w:rsidP="00C21AD2">
      <w:pPr>
        <w:spacing w:after="120" w:line="240" w:lineRule="auto"/>
        <w:ind w:left="567"/>
        <w:jc w:val="both"/>
        <w:rPr>
          <w:rFonts w:ascii="Arial" w:hAnsi="Arial" w:cs="Arial"/>
        </w:rPr>
      </w:pPr>
      <w:r w:rsidRPr="00483679">
        <w:rPr>
          <w:rFonts w:ascii="Arial" w:hAnsi="Arial" w:cs="Arial"/>
        </w:rPr>
        <w:t xml:space="preserve">It is the responsibility of the </w:t>
      </w:r>
      <w:r w:rsidR="00594DCA" w:rsidRPr="00483679">
        <w:rPr>
          <w:rFonts w:ascii="Arial" w:hAnsi="Arial" w:cs="Arial"/>
        </w:rPr>
        <w:t>Executive Director Lead for each workstream</w:t>
      </w:r>
      <w:r w:rsidR="000112D2" w:rsidRPr="00483679">
        <w:rPr>
          <w:rFonts w:ascii="Arial" w:hAnsi="Arial" w:cs="Arial"/>
        </w:rPr>
        <w:t xml:space="preserve"> </w:t>
      </w:r>
      <w:r w:rsidRPr="00483679">
        <w:rPr>
          <w:rFonts w:ascii="Arial" w:hAnsi="Arial" w:cs="Arial"/>
        </w:rPr>
        <w:t xml:space="preserve">to ensure that a copy of this log is submitted by close </w:t>
      </w:r>
      <w:r w:rsidRPr="00213CAD">
        <w:rPr>
          <w:rFonts w:ascii="Arial" w:hAnsi="Arial" w:cs="Arial"/>
        </w:rPr>
        <w:t xml:space="preserve">of play </w:t>
      </w:r>
      <w:r w:rsidR="003266B1" w:rsidRPr="00213CAD">
        <w:rPr>
          <w:rFonts w:ascii="Arial" w:hAnsi="Arial" w:cs="Arial"/>
        </w:rPr>
        <w:t xml:space="preserve">every </w:t>
      </w:r>
      <w:r w:rsidR="003266B1" w:rsidRPr="00483679">
        <w:rPr>
          <w:rFonts w:ascii="Arial" w:hAnsi="Arial" w:cs="Arial"/>
        </w:rPr>
        <w:t>Thursday</w:t>
      </w:r>
      <w:r w:rsidRPr="00483679">
        <w:rPr>
          <w:rFonts w:ascii="Arial" w:hAnsi="Arial" w:cs="Arial"/>
        </w:rPr>
        <w:t xml:space="preserve"> </w:t>
      </w:r>
      <w:hyperlink r:id="rId14" w:history="1">
        <w:r w:rsidR="007D5DF5">
          <w:rPr>
            <w:rStyle w:val="Hyperlink"/>
            <w:rFonts w:ascii="Arial" w:hAnsi="Arial" w:cs="Arial"/>
          </w:rPr>
          <w:t>nclchangeprogrammes@nhs.net</w:t>
        </w:r>
      </w:hyperlink>
      <w:r w:rsidR="007D5DF5">
        <w:rPr>
          <w:rStyle w:val="Hyperlink"/>
          <w:rFonts w:ascii="Arial" w:hAnsi="Arial" w:cs="Arial"/>
        </w:rPr>
        <w:t xml:space="preserve"> </w:t>
      </w:r>
      <w:r w:rsidR="009546F7" w:rsidRPr="00483679">
        <w:rPr>
          <w:rFonts w:ascii="Arial" w:hAnsi="Arial" w:cs="Arial"/>
        </w:rPr>
        <w:t xml:space="preserve">to enable </w:t>
      </w:r>
      <w:r w:rsidR="00A42A56" w:rsidRPr="00483679">
        <w:rPr>
          <w:rFonts w:ascii="Arial" w:hAnsi="Arial" w:cs="Arial"/>
        </w:rPr>
        <w:t>capture and triangulation of the costs</w:t>
      </w:r>
      <w:r w:rsidRPr="00483679">
        <w:rPr>
          <w:rFonts w:ascii="Arial" w:hAnsi="Arial" w:cs="Arial"/>
        </w:rPr>
        <w:t xml:space="preserve"> on weekly basis</w:t>
      </w:r>
      <w:r w:rsidR="00A42A56" w:rsidRPr="00483679">
        <w:rPr>
          <w:rFonts w:ascii="Arial" w:hAnsi="Arial" w:cs="Arial"/>
        </w:rPr>
        <w:t>.</w:t>
      </w:r>
      <w:r w:rsidR="00E403ED" w:rsidRPr="00483679">
        <w:rPr>
          <w:rFonts w:ascii="Arial" w:hAnsi="Arial" w:cs="Arial"/>
        </w:rPr>
        <w:t xml:space="preserve"> Where </w:t>
      </w:r>
      <w:r w:rsidR="00144463" w:rsidRPr="00483679">
        <w:rPr>
          <w:rFonts w:ascii="Arial" w:hAnsi="Arial" w:cs="Arial"/>
        </w:rPr>
        <w:t>practical</w:t>
      </w:r>
      <w:r w:rsidR="00E403ED" w:rsidRPr="00483679">
        <w:rPr>
          <w:rFonts w:ascii="Arial" w:hAnsi="Arial" w:cs="Arial"/>
        </w:rPr>
        <w:t xml:space="preserve"> the finance team will also keep a copy of PO/invoices of </w:t>
      </w:r>
      <w:r w:rsidR="009021A8" w:rsidRPr="00483679">
        <w:rPr>
          <w:rFonts w:ascii="Arial" w:hAnsi="Arial" w:cs="Arial"/>
        </w:rPr>
        <w:t>any spend to support any audit requirements</w:t>
      </w:r>
      <w:r w:rsidRPr="00483679">
        <w:rPr>
          <w:rFonts w:ascii="Arial" w:hAnsi="Arial" w:cs="Arial"/>
        </w:rPr>
        <w:t>.</w:t>
      </w:r>
    </w:p>
    <w:p w14:paraId="0155F2CF" w14:textId="379891F9" w:rsidR="00213CAD" w:rsidRDefault="000112D2" w:rsidP="00EC7699">
      <w:pPr>
        <w:spacing w:after="120" w:line="240" w:lineRule="auto"/>
        <w:ind w:left="567"/>
        <w:jc w:val="both"/>
        <w:rPr>
          <w:rFonts w:ascii="Arial" w:hAnsi="Arial" w:cs="Arial"/>
        </w:rPr>
      </w:pPr>
      <w:r w:rsidRPr="00483679">
        <w:rPr>
          <w:rFonts w:ascii="Arial" w:hAnsi="Arial" w:cs="Arial"/>
        </w:rPr>
        <w:t>Given the time limited nature of COVID-19 expenditure e</w:t>
      </w:r>
      <w:r w:rsidR="00C15FBC" w:rsidRPr="00483679">
        <w:rPr>
          <w:rFonts w:ascii="Arial" w:hAnsi="Arial" w:cs="Arial"/>
        </w:rPr>
        <w:t xml:space="preserve">xit costs should be considered and estimated as part of the financial decision process. </w:t>
      </w:r>
      <w:r w:rsidR="00646774" w:rsidRPr="00483679">
        <w:rPr>
          <w:rFonts w:ascii="Arial" w:hAnsi="Arial" w:cs="Arial"/>
        </w:rPr>
        <w:t xml:space="preserve"> Actual costs will need to be captured and then verified by finance. </w:t>
      </w:r>
    </w:p>
    <w:p w14:paraId="7183FF57" w14:textId="78CD90D8" w:rsidR="00EC7699" w:rsidRDefault="00C741F1" w:rsidP="00EC7699">
      <w:pPr>
        <w:spacing w:after="120" w:line="240" w:lineRule="auto"/>
        <w:ind w:left="567"/>
        <w:jc w:val="both"/>
        <w:rPr>
          <w:rFonts w:ascii="Arial" w:hAnsi="Arial" w:cs="Arial"/>
        </w:rPr>
      </w:pPr>
      <w:r>
        <w:rPr>
          <w:rFonts w:ascii="Arial" w:hAnsi="Arial" w:cs="Arial"/>
        </w:rPr>
        <w:object w:dxaOrig="1504" w:dyaOrig="982" w14:anchorId="013AAD7A">
          <v:shape id="_x0000_i1028" type="#_x0000_t75" style="width:74.85pt;height:49.2pt" o:ole="">
            <v:imagedata r:id="rId15" o:title=""/>
          </v:shape>
          <o:OLEObject Type="Embed" ProgID="Excel.Sheet.12" ShapeID="_x0000_i1028" DrawAspect="Icon" ObjectID="_1651648959" r:id="rId16"/>
        </w:object>
      </w:r>
    </w:p>
    <w:p w14:paraId="59509350" w14:textId="77777777" w:rsidR="00646774" w:rsidRPr="00483679" w:rsidRDefault="0063123A" w:rsidP="00C21AD2">
      <w:pPr>
        <w:spacing w:after="120" w:line="240" w:lineRule="auto"/>
        <w:ind w:left="567"/>
        <w:jc w:val="both"/>
        <w:rPr>
          <w:rFonts w:ascii="Arial" w:hAnsi="Arial" w:cs="Arial"/>
        </w:rPr>
      </w:pPr>
      <w:r w:rsidRPr="00483679">
        <w:rPr>
          <w:rFonts w:ascii="Arial" w:hAnsi="Arial" w:cs="Arial"/>
        </w:rPr>
        <w:t xml:space="preserve">All NHS providers and commissioners must carefully record the costs incurred in responding to the </w:t>
      </w:r>
      <w:r w:rsidR="00215A3D" w:rsidRPr="00483679">
        <w:rPr>
          <w:rFonts w:ascii="Arial" w:hAnsi="Arial" w:cs="Arial"/>
        </w:rPr>
        <w:t xml:space="preserve">COVID-19 </w:t>
      </w:r>
      <w:r w:rsidRPr="00483679">
        <w:rPr>
          <w:rFonts w:ascii="Arial" w:hAnsi="Arial" w:cs="Arial"/>
        </w:rPr>
        <w:t>outbreak and will be required to report actual costs incurred</w:t>
      </w:r>
      <w:r w:rsidR="00213CAD">
        <w:rPr>
          <w:rFonts w:ascii="Arial" w:hAnsi="Arial" w:cs="Arial"/>
        </w:rPr>
        <w:t xml:space="preserve"> to NHSE/I </w:t>
      </w:r>
      <w:r w:rsidRPr="00483679">
        <w:rPr>
          <w:rFonts w:ascii="Arial" w:hAnsi="Arial" w:cs="Arial"/>
        </w:rPr>
        <w:t xml:space="preserve">on a monthly basis. </w:t>
      </w:r>
      <w:r w:rsidR="00646774" w:rsidRPr="00483679">
        <w:rPr>
          <w:rFonts w:ascii="Arial" w:hAnsi="Arial" w:cs="Arial"/>
        </w:rPr>
        <w:t xml:space="preserve">To enable this weekly returns must be submitted to the above email address.  </w:t>
      </w:r>
      <w:r w:rsidRPr="00483679">
        <w:rPr>
          <w:rFonts w:ascii="Arial" w:hAnsi="Arial" w:cs="Arial"/>
        </w:rPr>
        <w:t>Accurate record keeping during this time is crucial - record keeping must meet the requirements of external audit, and public and Parliamentary scrutiny</w:t>
      </w:r>
      <w:r w:rsidR="00646774" w:rsidRPr="00483679">
        <w:rPr>
          <w:rFonts w:ascii="Arial" w:hAnsi="Arial" w:cs="Arial"/>
        </w:rPr>
        <w:t>.</w:t>
      </w:r>
    </w:p>
    <w:p w14:paraId="03305309" w14:textId="77777777" w:rsidR="00646774" w:rsidRPr="00483679" w:rsidRDefault="00646774" w:rsidP="00C461A2">
      <w:pPr>
        <w:spacing w:after="240" w:line="240" w:lineRule="auto"/>
        <w:ind w:left="567"/>
        <w:jc w:val="both"/>
        <w:rPr>
          <w:rFonts w:ascii="Arial" w:hAnsi="Arial" w:cs="Arial"/>
        </w:rPr>
      </w:pPr>
      <w:r w:rsidRPr="00483679">
        <w:rPr>
          <w:rFonts w:ascii="Arial" w:hAnsi="Arial" w:cs="Arial"/>
        </w:rPr>
        <w:t>It is the responsibility of the COVID19 Work</w:t>
      </w:r>
      <w:r w:rsidR="00213CAD">
        <w:rPr>
          <w:rFonts w:ascii="Arial" w:hAnsi="Arial" w:cs="Arial"/>
        </w:rPr>
        <w:t>-</w:t>
      </w:r>
      <w:r w:rsidRPr="00483679">
        <w:rPr>
          <w:rFonts w:ascii="Arial" w:hAnsi="Arial" w:cs="Arial"/>
        </w:rPr>
        <w:t xml:space="preserve">stream Leads to approve submission and confirm these are accurate.  </w:t>
      </w:r>
    </w:p>
    <w:p w14:paraId="6FEE3F95" w14:textId="77777777" w:rsidR="0063123A" w:rsidRPr="00483679" w:rsidRDefault="0063123A" w:rsidP="00C21AD2">
      <w:pPr>
        <w:pStyle w:val="ListParagraph"/>
        <w:numPr>
          <w:ilvl w:val="1"/>
          <w:numId w:val="4"/>
        </w:numPr>
        <w:spacing w:after="120"/>
        <w:ind w:left="567" w:hanging="567"/>
        <w:jc w:val="both"/>
        <w:rPr>
          <w:rFonts w:ascii="Arial" w:hAnsi="Arial" w:cs="Arial"/>
          <w:b/>
          <w:bCs/>
        </w:rPr>
      </w:pPr>
      <w:r w:rsidRPr="00483679">
        <w:rPr>
          <w:rFonts w:ascii="Arial" w:hAnsi="Arial" w:cs="Arial"/>
          <w:b/>
          <w:bCs/>
        </w:rPr>
        <w:t xml:space="preserve">Opportunity Costs </w:t>
      </w:r>
    </w:p>
    <w:p w14:paraId="220A23A1" w14:textId="77777777" w:rsidR="00BD2751" w:rsidRPr="00483679" w:rsidRDefault="0063123A" w:rsidP="00C21AD2">
      <w:pPr>
        <w:spacing w:after="120" w:line="240" w:lineRule="auto"/>
        <w:ind w:left="567"/>
        <w:jc w:val="both"/>
        <w:rPr>
          <w:rFonts w:ascii="Arial" w:hAnsi="Arial" w:cs="Arial"/>
        </w:rPr>
      </w:pPr>
      <w:r w:rsidRPr="00483679">
        <w:rPr>
          <w:rFonts w:ascii="Arial" w:hAnsi="Arial" w:cs="Arial"/>
        </w:rPr>
        <w:t xml:space="preserve">Consideration should be given to opportunity costs.  Opportunity costs are the </w:t>
      </w:r>
      <w:r w:rsidR="00101770" w:rsidRPr="00483679">
        <w:rPr>
          <w:rFonts w:ascii="Arial" w:hAnsi="Arial" w:cs="Arial"/>
        </w:rPr>
        <w:t xml:space="preserve">he loss of other alternatives when one alternative is chosen, a simple definition is the cost that is incurred due to NOT doing something.   For example with the majority of resourcing focused on the COVID19 response may result in increased costs due to delays in implementing </w:t>
      </w:r>
      <w:r w:rsidR="00BD2751" w:rsidRPr="00483679">
        <w:rPr>
          <w:rFonts w:ascii="Arial" w:hAnsi="Arial" w:cs="Arial"/>
        </w:rPr>
        <w:t>System Efficiency Plans, including local</w:t>
      </w:r>
      <w:r w:rsidR="00101770" w:rsidRPr="00483679">
        <w:rPr>
          <w:rFonts w:ascii="Arial" w:hAnsi="Arial" w:cs="Arial"/>
        </w:rPr>
        <w:t xml:space="preserve"> schemes</w:t>
      </w:r>
      <w:r w:rsidR="00BD2751" w:rsidRPr="00483679">
        <w:rPr>
          <w:rFonts w:ascii="Arial" w:hAnsi="Arial" w:cs="Arial"/>
        </w:rPr>
        <w:t xml:space="preserve"> and the delay to implementing the new CCG operating model </w:t>
      </w:r>
      <w:r w:rsidR="00101770" w:rsidRPr="00483679">
        <w:rPr>
          <w:rFonts w:ascii="Arial" w:hAnsi="Arial" w:cs="Arial"/>
        </w:rPr>
        <w:t>that could lead to increased cost</w:t>
      </w:r>
      <w:r w:rsidR="00BD2751" w:rsidRPr="00483679">
        <w:rPr>
          <w:rFonts w:ascii="Arial" w:hAnsi="Arial" w:cs="Arial"/>
        </w:rPr>
        <w:t>s</w:t>
      </w:r>
      <w:r w:rsidR="00101770" w:rsidRPr="00483679">
        <w:rPr>
          <w:rFonts w:ascii="Arial" w:hAnsi="Arial" w:cs="Arial"/>
        </w:rPr>
        <w:t xml:space="preserve">. </w:t>
      </w:r>
      <w:r w:rsidR="00BD2751" w:rsidRPr="00483679">
        <w:rPr>
          <w:rFonts w:ascii="Arial" w:hAnsi="Arial" w:cs="Arial"/>
        </w:rPr>
        <w:t xml:space="preserve"> </w:t>
      </w:r>
    </w:p>
    <w:p w14:paraId="7A05A2A3" w14:textId="77777777" w:rsidR="00BD2751" w:rsidRPr="00483679" w:rsidRDefault="00BD2751" w:rsidP="00C461A2">
      <w:pPr>
        <w:spacing w:after="240" w:line="240" w:lineRule="auto"/>
        <w:ind w:left="567"/>
        <w:jc w:val="both"/>
        <w:rPr>
          <w:rFonts w:ascii="Arial" w:hAnsi="Arial" w:cs="Arial"/>
          <w:lang w:eastAsia="en-GB"/>
        </w:rPr>
      </w:pPr>
      <w:r w:rsidRPr="00483679">
        <w:rPr>
          <w:rFonts w:ascii="Arial" w:hAnsi="Arial" w:cs="Arial"/>
        </w:rPr>
        <w:t xml:space="preserve">These will need to </w:t>
      </w:r>
      <w:r w:rsidR="00C21AD2">
        <w:rPr>
          <w:rFonts w:ascii="Arial" w:hAnsi="Arial" w:cs="Arial"/>
        </w:rPr>
        <w:t xml:space="preserve">be </w:t>
      </w:r>
      <w:r w:rsidRPr="00483679">
        <w:rPr>
          <w:rFonts w:ascii="Arial" w:hAnsi="Arial" w:cs="Arial"/>
        </w:rPr>
        <w:t>assessed and costs estimated.</w:t>
      </w:r>
      <w:r w:rsidR="00646774" w:rsidRPr="00483679">
        <w:rPr>
          <w:rFonts w:ascii="Arial" w:hAnsi="Arial" w:cs="Arial"/>
        </w:rPr>
        <w:t xml:space="preserve">  Further guidance is expected on this at a later date. </w:t>
      </w:r>
    </w:p>
    <w:p w14:paraId="453D4E89" w14:textId="77777777" w:rsidR="003D0C2F" w:rsidRPr="00483679" w:rsidRDefault="003D0C2F" w:rsidP="00C21AD2">
      <w:pPr>
        <w:pStyle w:val="ListParagraph"/>
        <w:numPr>
          <w:ilvl w:val="1"/>
          <w:numId w:val="4"/>
        </w:numPr>
        <w:spacing w:after="120"/>
        <w:ind w:left="567" w:hanging="567"/>
        <w:jc w:val="both"/>
        <w:rPr>
          <w:rFonts w:ascii="Arial" w:hAnsi="Arial" w:cs="Arial"/>
          <w:b/>
          <w:bCs/>
        </w:rPr>
      </w:pPr>
      <w:r w:rsidRPr="00483679">
        <w:rPr>
          <w:rFonts w:ascii="Arial" w:hAnsi="Arial" w:cs="Arial"/>
          <w:b/>
          <w:bCs/>
        </w:rPr>
        <w:t>Reporting arrangements</w:t>
      </w:r>
    </w:p>
    <w:p w14:paraId="5BFAB968" w14:textId="77777777" w:rsidR="00C03042" w:rsidRPr="00483679" w:rsidRDefault="009546F7" w:rsidP="00C21AD2">
      <w:pPr>
        <w:spacing w:after="120" w:line="240" w:lineRule="auto"/>
        <w:ind w:left="567"/>
        <w:jc w:val="both"/>
        <w:rPr>
          <w:rFonts w:ascii="Arial" w:hAnsi="Arial" w:cs="Arial"/>
        </w:rPr>
      </w:pPr>
      <w:r w:rsidRPr="00483679">
        <w:rPr>
          <w:rFonts w:ascii="Arial" w:hAnsi="Arial" w:cs="Arial"/>
        </w:rPr>
        <w:t xml:space="preserve">The financial </w:t>
      </w:r>
      <w:r w:rsidR="00BD2751" w:rsidRPr="00483679">
        <w:rPr>
          <w:rFonts w:ascii="Arial" w:hAnsi="Arial" w:cs="Arial"/>
        </w:rPr>
        <w:t>planning</w:t>
      </w:r>
      <w:r w:rsidRPr="00483679">
        <w:rPr>
          <w:rFonts w:ascii="Arial" w:hAnsi="Arial" w:cs="Arial"/>
        </w:rPr>
        <w:t xml:space="preserve"> team will be responsible for collating costs from the above sources.</w:t>
      </w:r>
      <w:r w:rsidR="00C03042" w:rsidRPr="00483679">
        <w:rPr>
          <w:rFonts w:ascii="Arial" w:hAnsi="Arial" w:cs="Arial"/>
        </w:rPr>
        <w:t xml:space="preserve"> </w:t>
      </w:r>
      <w:r w:rsidR="00CF77E3" w:rsidRPr="00483679">
        <w:rPr>
          <w:rFonts w:ascii="Arial" w:hAnsi="Arial" w:cs="Arial"/>
        </w:rPr>
        <w:t xml:space="preserve"> </w:t>
      </w:r>
      <w:r w:rsidR="00C03042" w:rsidRPr="00483679">
        <w:rPr>
          <w:rFonts w:ascii="Arial" w:hAnsi="Arial" w:cs="Arial"/>
        </w:rPr>
        <w:t xml:space="preserve">These costs will be reviewed on a </w:t>
      </w:r>
      <w:r w:rsidR="00BD2751" w:rsidRPr="00483679">
        <w:rPr>
          <w:rFonts w:ascii="Arial" w:hAnsi="Arial" w:cs="Arial"/>
        </w:rPr>
        <w:t>weekly</w:t>
      </w:r>
      <w:r w:rsidR="00C03042" w:rsidRPr="00483679">
        <w:rPr>
          <w:rFonts w:ascii="Arial" w:hAnsi="Arial" w:cs="Arial"/>
        </w:rPr>
        <w:t xml:space="preserve"> basis </w:t>
      </w:r>
      <w:r w:rsidR="00775586" w:rsidRPr="00483679">
        <w:rPr>
          <w:rFonts w:ascii="Arial" w:hAnsi="Arial" w:cs="Arial"/>
        </w:rPr>
        <w:t xml:space="preserve">prior to </w:t>
      </w:r>
      <w:r w:rsidR="00521891" w:rsidRPr="00483679">
        <w:rPr>
          <w:rFonts w:ascii="Arial" w:hAnsi="Arial" w:cs="Arial"/>
        </w:rPr>
        <w:t xml:space="preserve">monthly </w:t>
      </w:r>
      <w:r w:rsidR="00775586" w:rsidRPr="00483679">
        <w:rPr>
          <w:rFonts w:ascii="Arial" w:hAnsi="Arial" w:cs="Arial"/>
        </w:rPr>
        <w:t>submission</w:t>
      </w:r>
      <w:r w:rsidR="00521891" w:rsidRPr="00483679">
        <w:rPr>
          <w:rFonts w:ascii="Arial" w:hAnsi="Arial" w:cs="Arial"/>
        </w:rPr>
        <w:t xml:space="preserve"> to </w:t>
      </w:r>
      <w:proofErr w:type="gramStart"/>
      <w:r w:rsidR="00521891" w:rsidRPr="00483679">
        <w:rPr>
          <w:rFonts w:ascii="Arial" w:hAnsi="Arial" w:cs="Arial"/>
        </w:rPr>
        <w:t>NHS</w:t>
      </w:r>
      <w:r w:rsidR="00472F49" w:rsidRPr="00483679">
        <w:rPr>
          <w:rFonts w:ascii="Arial" w:hAnsi="Arial" w:cs="Arial"/>
        </w:rPr>
        <w:t>E</w:t>
      </w:r>
      <w:r w:rsidR="00521891" w:rsidRPr="00483679">
        <w:rPr>
          <w:rFonts w:ascii="Arial" w:hAnsi="Arial" w:cs="Arial"/>
        </w:rPr>
        <w:t>/</w:t>
      </w:r>
      <w:r w:rsidR="00472F49" w:rsidRPr="00483679">
        <w:rPr>
          <w:rFonts w:ascii="Arial" w:hAnsi="Arial" w:cs="Arial"/>
        </w:rPr>
        <w:t>I</w:t>
      </w:r>
      <w:proofErr w:type="gramEnd"/>
      <w:r w:rsidR="00521891" w:rsidRPr="00483679">
        <w:rPr>
          <w:rFonts w:ascii="Arial" w:hAnsi="Arial" w:cs="Arial"/>
        </w:rPr>
        <w:t xml:space="preserve"> </w:t>
      </w:r>
      <w:r w:rsidR="00472F49" w:rsidRPr="00483679">
        <w:rPr>
          <w:rFonts w:ascii="Arial" w:hAnsi="Arial" w:cs="Arial"/>
        </w:rPr>
        <w:t xml:space="preserve">and </w:t>
      </w:r>
      <w:r w:rsidR="00521891" w:rsidRPr="00483679">
        <w:rPr>
          <w:rFonts w:ascii="Arial" w:hAnsi="Arial" w:cs="Arial"/>
        </w:rPr>
        <w:t>signed off</w:t>
      </w:r>
      <w:r w:rsidR="00775586" w:rsidRPr="00483679">
        <w:rPr>
          <w:rFonts w:ascii="Arial" w:hAnsi="Arial" w:cs="Arial"/>
        </w:rPr>
        <w:t xml:space="preserve"> </w:t>
      </w:r>
      <w:r w:rsidR="00C03042" w:rsidRPr="00483679">
        <w:rPr>
          <w:rFonts w:ascii="Arial" w:hAnsi="Arial" w:cs="Arial"/>
        </w:rPr>
        <w:t xml:space="preserve">by </w:t>
      </w:r>
      <w:r w:rsidR="00775586" w:rsidRPr="00483679">
        <w:rPr>
          <w:rFonts w:ascii="Arial" w:hAnsi="Arial" w:cs="Arial"/>
        </w:rPr>
        <w:t>the CFO or deputy in their absence.</w:t>
      </w:r>
    </w:p>
    <w:p w14:paraId="30A68F7E" w14:textId="77777777" w:rsidR="00C741F1" w:rsidRDefault="00C741F1" w:rsidP="003A0AFD">
      <w:pPr>
        <w:spacing w:after="240" w:line="240" w:lineRule="auto"/>
        <w:ind w:left="567"/>
        <w:jc w:val="both"/>
        <w:rPr>
          <w:rFonts w:ascii="Arial" w:hAnsi="Arial" w:cs="Arial"/>
        </w:rPr>
      </w:pPr>
    </w:p>
    <w:p w14:paraId="022923DD" w14:textId="77777777" w:rsidR="00C741F1" w:rsidRDefault="00C741F1" w:rsidP="003A0AFD">
      <w:pPr>
        <w:spacing w:after="240" w:line="240" w:lineRule="auto"/>
        <w:ind w:left="567"/>
        <w:jc w:val="both"/>
        <w:rPr>
          <w:rFonts w:ascii="Arial" w:hAnsi="Arial" w:cs="Arial"/>
        </w:rPr>
      </w:pPr>
    </w:p>
    <w:p w14:paraId="3CA7AA3E" w14:textId="00DB8FD2" w:rsidR="009546F7" w:rsidRPr="00483679" w:rsidRDefault="00C03042" w:rsidP="003A0AFD">
      <w:pPr>
        <w:spacing w:after="240" w:line="240" w:lineRule="auto"/>
        <w:ind w:left="567"/>
        <w:jc w:val="both"/>
        <w:rPr>
          <w:rFonts w:ascii="Arial" w:hAnsi="Arial" w:cs="Arial"/>
        </w:rPr>
      </w:pPr>
      <w:r w:rsidRPr="00483679">
        <w:rPr>
          <w:rFonts w:ascii="Arial" w:hAnsi="Arial" w:cs="Arial"/>
        </w:rPr>
        <w:t xml:space="preserve">The </w:t>
      </w:r>
      <w:r w:rsidR="002601EE" w:rsidRPr="00483679">
        <w:rPr>
          <w:rFonts w:ascii="Arial" w:hAnsi="Arial" w:cs="Arial"/>
        </w:rPr>
        <w:t>Director of System Financial Planning</w:t>
      </w:r>
      <w:r w:rsidRPr="00483679">
        <w:rPr>
          <w:rFonts w:ascii="Arial" w:hAnsi="Arial" w:cs="Arial"/>
        </w:rPr>
        <w:t xml:space="preserve"> will be responsible for submission of all costs to </w:t>
      </w:r>
      <w:proofErr w:type="gramStart"/>
      <w:r w:rsidRPr="00483679">
        <w:rPr>
          <w:rFonts w:ascii="Arial" w:hAnsi="Arial" w:cs="Arial"/>
        </w:rPr>
        <w:t>NHS</w:t>
      </w:r>
      <w:r w:rsidR="00AF75A8" w:rsidRPr="00483679">
        <w:rPr>
          <w:rFonts w:ascii="Arial" w:hAnsi="Arial" w:cs="Arial"/>
        </w:rPr>
        <w:t>E</w:t>
      </w:r>
      <w:r w:rsidRPr="00483679">
        <w:rPr>
          <w:rFonts w:ascii="Arial" w:hAnsi="Arial" w:cs="Arial"/>
        </w:rPr>
        <w:t>/</w:t>
      </w:r>
      <w:r w:rsidR="00AF75A8" w:rsidRPr="00483679">
        <w:rPr>
          <w:rFonts w:ascii="Arial" w:hAnsi="Arial" w:cs="Arial"/>
        </w:rPr>
        <w:t>I</w:t>
      </w:r>
      <w:proofErr w:type="gramEnd"/>
      <w:r w:rsidRPr="00483679">
        <w:rPr>
          <w:rFonts w:ascii="Arial" w:hAnsi="Arial" w:cs="Arial"/>
        </w:rPr>
        <w:t xml:space="preserve"> as required.</w:t>
      </w:r>
      <w:r w:rsidR="0013295E" w:rsidRPr="00483679">
        <w:rPr>
          <w:rFonts w:ascii="Arial" w:hAnsi="Arial" w:cs="Arial"/>
        </w:rPr>
        <w:t xml:space="preserve"> </w:t>
      </w:r>
      <w:r w:rsidR="00FA08A9" w:rsidRPr="00483679">
        <w:rPr>
          <w:rFonts w:ascii="Arial" w:hAnsi="Arial" w:cs="Arial"/>
        </w:rPr>
        <w:t xml:space="preserve">In the absence of the </w:t>
      </w:r>
      <w:r w:rsidR="002601EE" w:rsidRPr="00483679">
        <w:rPr>
          <w:rFonts w:ascii="Arial" w:hAnsi="Arial" w:cs="Arial"/>
        </w:rPr>
        <w:t xml:space="preserve">Director of System Financial Planning </w:t>
      </w:r>
      <w:r w:rsidR="00FA08A9" w:rsidRPr="00483679">
        <w:rPr>
          <w:rFonts w:ascii="Arial" w:hAnsi="Arial" w:cs="Arial"/>
        </w:rPr>
        <w:t xml:space="preserve">the reporting will be the responsibility of either the </w:t>
      </w:r>
      <w:r w:rsidR="00BD2751" w:rsidRPr="00483679">
        <w:rPr>
          <w:rFonts w:ascii="Arial" w:hAnsi="Arial" w:cs="Arial"/>
        </w:rPr>
        <w:t>Director of Financial Management or the Director of Finance Contracting</w:t>
      </w:r>
      <w:r w:rsidR="00FA08A9" w:rsidRPr="00483679">
        <w:rPr>
          <w:rFonts w:ascii="Arial" w:hAnsi="Arial" w:cs="Arial"/>
        </w:rPr>
        <w:t xml:space="preserve">. </w:t>
      </w:r>
      <w:r w:rsidR="0013295E" w:rsidRPr="00483679">
        <w:rPr>
          <w:rFonts w:ascii="Arial" w:hAnsi="Arial" w:cs="Arial"/>
        </w:rPr>
        <w:t xml:space="preserve">It is anticipated this reporting will be the basis of </w:t>
      </w:r>
      <w:r w:rsidR="005A4200" w:rsidRPr="00483679">
        <w:rPr>
          <w:rFonts w:ascii="Arial" w:hAnsi="Arial" w:cs="Arial"/>
        </w:rPr>
        <w:t xml:space="preserve">monthly </w:t>
      </w:r>
      <w:r w:rsidR="0013295E" w:rsidRPr="00483679">
        <w:rPr>
          <w:rFonts w:ascii="Arial" w:hAnsi="Arial" w:cs="Arial"/>
        </w:rPr>
        <w:t>reimbursement from NHS</w:t>
      </w:r>
      <w:r w:rsidR="00472F49" w:rsidRPr="00483679">
        <w:rPr>
          <w:rFonts w:ascii="Arial" w:hAnsi="Arial" w:cs="Arial"/>
        </w:rPr>
        <w:t>E</w:t>
      </w:r>
      <w:r w:rsidR="0013295E" w:rsidRPr="00483679">
        <w:rPr>
          <w:rFonts w:ascii="Arial" w:hAnsi="Arial" w:cs="Arial"/>
        </w:rPr>
        <w:t>/</w:t>
      </w:r>
      <w:r w:rsidR="00472F49" w:rsidRPr="00483679">
        <w:rPr>
          <w:rFonts w:ascii="Arial" w:hAnsi="Arial" w:cs="Arial"/>
        </w:rPr>
        <w:t>I</w:t>
      </w:r>
      <w:r w:rsidR="0013295E" w:rsidRPr="00483679">
        <w:rPr>
          <w:rFonts w:ascii="Arial" w:hAnsi="Arial" w:cs="Arial"/>
        </w:rPr>
        <w:t>.</w:t>
      </w:r>
    </w:p>
    <w:p w14:paraId="073ACFBD" w14:textId="77777777" w:rsidR="00C03042" w:rsidRPr="00483679" w:rsidRDefault="00C03042" w:rsidP="00C21AD2">
      <w:pPr>
        <w:pStyle w:val="ListParagraph"/>
        <w:numPr>
          <w:ilvl w:val="0"/>
          <w:numId w:val="4"/>
        </w:numPr>
        <w:spacing w:after="120"/>
        <w:ind w:left="567" w:hanging="567"/>
        <w:jc w:val="both"/>
        <w:rPr>
          <w:rFonts w:ascii="Arial" w:hAnsi="Arial" w:cs="Arial"/>
          <w:b/>
          <w:bCs/>
        </w:rPr>
      </w:pPr>
      <w:r w:rsidRPr="00483679">
        <w:rPr>
          <w:rFonts w:ascii="Arial" w:hAnsi="Arial" w:cs="Arial"/>
          <w:b/>
          <w:bCs/>
        </w:rPr>
        <w:t>Fraud/Financial loss</w:t>
      </w:r>
      <w:r w:rsidR="00FA08A9" w:rsidRPr="00483679">
        <w:rPr>
          <w:rFonts w:ascii="Arial" w:hAnsi="Arial" w:cs="Arial"/>
          <w:b/>
          <w:bCs/>
        </w:rPr>
        <w:t xml:space="preserve">  </w:t>
      </w:r>
    </w:p>
    <w:p w14:paraId="76403683" w14:textId="77777777" w:rsidR="00EC34CA" w:rsidRPr="00483679" w:rsidRDefault="00BD2751" w:rsidP="00C21AD2">
      <w:pPr>
        <w:spacing w:after="120" w:line="240" w:lineRule="auto"/>
        <w:ind w:left="567"/>
        <w:jc w:val="both"/>
        <w:rPr>
          <w:rFonts w:ascii="Arial" w:hAnsi="Arial" w:cs="Arial"/>
        </w:rPr>
      </w:pPr>
      <w:r w:rsidRPr="00483679">
        <w:rPr>
          <w:rFonts w:ascii="Arial" w:hAnsi="Arial" w:cs="Arial"/>
        </w:rPr>
        <w:t>The CCG</w:t>
      </w:r>
      <w:r w:rsidR="00EC34CA" w:rsidRPr="00483679">
        <w:rPr>
          <w:rFonts w:ascii="Arial" w:hAnsi="Arial" w:cs="Arial"/>
        </w:rPr>
        <w:t xml:space="preserve"> has considered the resilience of existing fraud prevention arrangements, especially with regards to the temporary arrangements put in place to enable efficient COVID-19 related decision making and financial transactions.</w:t>
      </w:r>
    </w:p>
    <w:p w14:paraId="187829EA" w14:textId="77777777" w:rsidR="00EC34CA" w:rsidRPr="00483679" w:rsidRDefault="00BD2751" w:rsidP="00C21AD2">
      <w:pPr>
        <w:spacing w:after="120" w:line="240" w:lineRule="auto"/>
        <w:ind w:left="567"/>
        <w:jc w:val="both"/>
        <w:rPr>
          <w:rFonts w:ascii="Arial" w:hAnsi="Arial" w:cs="Arial"/>
        </w:rPr>
      </w:pPr>
      <w:r w:rsidRPr="00483679">
        <w:rPr>
          <w:rFonts w:ascii="Arial" w:hAnsi="Arial" w:cs="Arial"/>
        </w:rPr>
        <w:t>The CCG</w:t>
      </w:r>
      <w:r w:rsidR="00EC34CA" w:rsidRPr="00483679">
        <w:rPr>
          <w:rFonts w:ascii="Arial" w:hAnsi="Arial" w:cs="Arial"/>
        </w:rPr>
        <w:t xml:space="preserve"> acknowledges the increased potential for fraud at this time but will mitigate this risk by:</w:t>
      </w:r>
    </w:p>
    <w:p w14:paraId="54ECC641" w14:textId="77777777" w:rsidR="00EC34CA" w:rsidRPr="00483679" w:rsidRDefault="00EC34CA" w:rsidP="00A513CA">
      <w:pPr>
        <w:pStyle w:val="ListParagraph"/>
        <w:numPr>
          <w:ilvl w:val="0"/>
          <w:numId w:val="7"/>
        </w:numPr>
        <w:spacing w:after="120"/>
        <w:ind w:left="992" w:hanging="425"/>
        <w:jc w:val="both"/>
        <w:rPr>
          <w:rFonts w:ascii="Arial" w:hAnsi="Arial" w:cs="Arial"/>
        </w:rPr>
      </w:pPr>
      <w:r w:rsidRPr="00483679">
        <w:rPr>
          <w:rFonts w:ascii="Arial" w:hAnsi="Arial" w:cs="Arial"/>
        </w:rPr>
        <w:t>Maintaining existing segregation of duties arrangements, especially regarding:</w:t>
      </w:r>
    </w:p>
    <w:p w14:paraId="1A7E9A0F" w14:textId="77777777" w:rsidR="002601EE" w:rsidRPr="00483679" w:rsidRDefault="002601EE" w:rsidP="00A513CA">
      <w:pPr>
        <w:pStyle w:val="ListParagraph"/>
        <w:numPr>
          <w:ilvl w:val="1"/>
          <w:numId w:val="7"/>
        </w:numPr>
        <w:spacing w:after="120"/>
        <w:ind w:left="1418" w:hanging="426"/>
        <w:contextualSpacing/>
        <w:jc w:val="both"/>
        <w:rPr>
          <w:rFonts w:ascii="Arial" w:hAnsi="Arial" w:cs="Arial"/>
        </w:rPr>
      </w:pPr>
      <w:r w:rsidRPr="00483679">
        <w:rPr>
          <w:rFonts w:ascii="Arial" w:hAnsi="Arial" w:cs="Arial"/>
        </w:rPr>
        <w:t>Working in partnership with Local Counter Fraud</w:t>
      </w:r>
    </w:p>
    <w:p w14:paraId="05E90140" w14:textId="77777777" w:rsidR="00EC34CA" w:rsidRPr="00483679" w:rsidRDefault="00EC34CA" w:rsidP="00A513CA">
      <w:pPr>
        <w:pStyle w:val="ListParagraph"/>
        <w:numPr>
          <w:ilvl w:val="1"/>
          <w:numId w:val="7"/>
        </w:numPr>
        <w:spacing w:after="120"/>
        <w:ind w:left="1418" w:hanging="426"/>
        <w:contextualSpacing/>
        <w:jc w:val="both"/>
        <w:rPr>
          <w:rFonts w:ascii="Arial" w:hAnsi="Arial" w:cs="Arial"/>
        </w:rPr>
      </w:pPr>
      <w:r w:rsidRPr="00483679">
        <w:rPr>
          <w:rFonts w:ascii="Arial" w:hAnsi="Arial" w:cs="Arial"/>
        </w:rPr>
        <w:t>Financial systems user set-up/amendment</w:t>
      </w:r>
    </w:p>
    <w:p w14:paraId="56E1B8E2" w14:textId="77777777" w:rsidR="00EC34CA" w:rsidRPr="00483679" w:rsidRDefault="00EC34CA" w:rsidP="00A513CA">
      <w:pPr>
        <w:pStyle w:val="ListParagraph"/>
        <w:numPr>
          <w:ilvl w:val="1"/>
          <w:numId w:val="7"/>
        </w:numPr>
        <w:spacing w:after="120"/>
        <w:ind w:left="1418" w:hanging="426"/>
        <w:contextualSpacing/>
        <w:jc w:val="both"/>
        <w:rPr>
          <w:rFonts w:ascii="Arial" w:hAnsi="Arial" w:cs="Arial"/>
        </w:rPr>
      </w:pPr>
      <w:r w:rsidRPr="00483679">
        <w:rPr>
          <w:rFonts w:ascii="Arial" w:hAnsi="Arial" w:cs="Arial"/>
        </w:rPr>
        <w:t>Supplier set-up/amendment</w:t>
      </w:r>
    </w:p>
    <w:p w14:paraId="2C7E9EA1" w14:textId="77777777" w:rsidR="00EC34CA" w:rsidRPr="00483679" w:rsidRDefault="00EC34CA" w:rsidP="00A513CA">
      <w:pPr>
        <w:pStyle w:val="ListParagraph"/>
        <w:numPr>
          <w:ilvl w:val="1"/>
          <w:numId w:val="7"/>
        </w:numPr>
        <w:spacing w:after="120"/>
        <w:ind w:left="1418" w:hanging="426"/>
        <w:contextualSpacing/>
        <w:jc w:val="both"/>
        <w:rPr>
          <w:rFonts w:ascii="Arial" w:hAnsi="Arial" w:cs="Arial"/>
        </w:rPr>
      </w:pPr>
      <w:r w:rsidRPr="00483679">
        <w:rPr>
          <w:rFonts w:ascii="Arial" w:hAnsi="Arial" w:cs="Arial"/>
        </w:rPr>
        <w:t>Purchase order approval/receipting/invoice approval</w:t>
      </w:r>
    </w:p>
    <w:p w14:paraId="109848E1" w14:textId="77777777" w:rsidR="00EC34CA" w:rsidRPr="00483679" w:rsidRDefault="00EC34CA" w:rsidP="00A513CA">
      <w:pPr>
        <w:pStyle w:val="ListParagraph"/>
        <w:numPr>
          <w:ilvl w:val="1"/>
          <w:numId w:val="7"/>
        </w:numPr>
        <w:spacing w:after="120"/>
        <w:ind w:left="1417" w:hanging="425"/>
        <w:jc w:val="both"/>
        <w:rPr>
          <w:rFonts w:ascii="Arial" w:hAnsi="Arial" w:cs="Arial"/>
        </w:rPr>
      </w:pPr>
      <w:r w:rsidRPr="00483679">
        <w:rPr>
          <w:rFonts w:ascii="Arial" w:hAnsi="Arial" w:cs="Arial"/>
        </w:rPr>
        <w:t>Payment approval</w:t>
      </w:r>
    </w:p>
    <w:p w14:paraId="3D3090AB" w14:textId="77777777" w:rsidR="00EC34CA" w:rsidRPr="00483679" w:rsidRDefault="00EC34CA" w:rsidP="00A513CA">
      <w:pPr>
        <w:pStyle w:val="ListParagraph"/>
        <w:numPr>
          <w:ilvl w:val="0"/>
          <w:numId w:val="7"/>
        </w:numPr>
        <w:spacing w:after="120"/>
        <w:ind w:left="992" w:hanging="425"/>
        <w:jc w:val="both"/>
        <w:rPr>
          <w:rFonts w:ascii="Arial" w:hAnsi="Arial" w:cs="Arial"/>
        </w:rPr>
      </w:pPr>
      <w:r w:rsidRPr="00483679">
        <w:rPr>
          <w:rFonts w:ascii="Arial" w:hAnsi="Arial" w:cs="Arial"/>
        </w:rPr>
        <w:t>Ensuring that the segregation of duties set out above are maintained:</w:t>
      </w:r>
    </w:p>
    <w:p w14:paraId="0B2ABB0E" w14:textId="77777777" w:rsidR="00EC34CA" w:rsidRPr="00483679" w:rsidRDefault="00EC34CA" w:rsidP="00A513CA">
      <w:pPr>
        <w:pStyle w:val="ListParagraph"/>
        <w:numPr>
          <w:ilvl w:val="1"/>
          <w:numId w:val="7"/>
        </w:numPr>
        <w:spacing w:after="120"/>
        <w:ind w:left="1418" w:hanging="426"/>
        <w:contextualSpacing/>
        <w:jc w:val="both"/>
        <w:rPr>
          <w:rFonts w:ascii="Arial" w:hAnsi="Arial" w:cs="Arial"/>
        </w:rPr>
      </w:pPr>
      <w:r w:rsidRPr="00483679">
        <w:rPr>
          <w:rFonts w:ascii="Arial" w:hAnsi="Arial" w:cs="Arial"/>
        </w:rPr>
        <w:t xml:space="preserve">Where user approval limits are temporarily increased; </w:t>
      </w:r>
    </w:p>
    <w:p w14:paraId="0156ADC7" w14:textId="77777777" w:rsidR="00EC34CA" w:rsidRPr="00483679" w:rsidRDefault="00EC34CA" w:rsidP="00A513CA">
      <w:pPr>
        <w:pStyle w:val="ListParagraph"/>
        <w:numPr>
          <w:ilvl w:val="1"/>
          <w:numId w:val="7"/>
        </w:numPr>
        <w:spacing w:after="120"/>
        <w:ind w:left="1418" w:hanging="426"/>
        <w:contextualSpacing/>
        <w:jc w:val="both"/>
        <w:rPr>
          <w:rFonts w:ascii="Arial" w:hAnsi="Arial" w:cs="Arial"/>
        </w:rPr>
      </w:pPr>
      <w:r w:rsidRPr="00483679">
        <w:rPr>
          <w:rFonts w:ascii="Arial" w:hAnsi="Arial" w:cs="Arial"/>
        </w:rPr>
        <w:t xml:space="preserve">Where cross-cover arrangements are put in place; and </w:t>
      </w:r>
    </w:p>
    <w:p w14:paraId="75556CC7" w14:textId="77777777" w:rsidR="00EC34CA" w:rsidRPr="00483679" w:rsidRDefault="00EC34CA" w:rsidP="00A513CA">
      <w:pPr>
        <w:pStyle w:val="ListParagraph"/>
        <w:numPr>
          <w:ilvl w:val="1"/>
          <w:numId w:val="7"/>
        </w:numPr>
        <w:spacing w:after="120"/>
        <w:ind w:left="1417" w:hanging="425"/>
        <w:jc w:val="both"/>
        <w:rPr>
          <w:rFonts w:ascii="Arial" w:hAnsi="Arial" w:cs="Arial"/>
        </w:rPr>
      </w:pPr>
      <w:r w:rsidRPr="00483679">
        <w:rPr>
          <w:rFonts w:ascii="Arial" w:hAnsi="Arial" w:cs="Arial"/>
        </w:rPr>
        <w:t>Where aut</w:t>
      </w:r>
      <w:r w:rsidR="00A513CA">
        <w:rPr>
          <w:rFonts w:ascii="Arial" w:hAnsi="Arial" w:cs="Arial"/>
        </w:rPr>
        <w:t>hority is temporarily delegated</w:t>
      </w:r>
    </w:p>
    <w:p w14:paraId="693B050E" w14:textId="77777777" w:rsidR="00EC34CA" w:rsidRPr="00483679" w:rsidRDefault="00EC34CA" w:rsidP="00A513CA">
      <w:pPr>
        <w:pStyle w:val="ListParagraph"/>
        <w:numPr>
          <w:ilvl w:val="0"/>
          <w:numId w:val="7"/>
        </w:numPr>
        <w:spacing w:after="120"/>
        <w:ind w:left="992" w:hanging="425"/>
        <w:jc w:val="both"/>
        <w:rPr>
          <w:rFonts w:ascii="Arial" w:hAnsi="Arial" w:cs="Arial"/>
        </w:rPr>
      </w:pPr>
      <w:r w:rsidRPr="00483679">
        <w:rPr>
          <w:rFonts w:ascii="Arial" w:hAnsi="Arial" w:cs="Arial"/>
        </w:rPr>
        <w:t xml:space="preserve">Requiring </w:t>
      </w:r>
      <w:r w:rsidRPr="00213CAD">
        <w:rPr>
          <w:rFonts w:ascii="Arial" w:hAnsi="Arial" w:cs="Arial"/>
        </w:rPr>
        <w:t xml:space="preserve">documented </w:t>
      </w:r>
      <w:r w:rsidR="00BD2751" w:rsidRPr="00213CAD">
        <w:rPr>
          <w:rFonts w:ascii="Arial" w:hAnsi="Arial" w:cs="Arial"/>
        </w:rPr>
        <w:t>Executive Director</w:t>
      </w:r>
      <w:r w:rsidRPr="00213CAD">
        <w:rPr>
          <w:rFonts w:ascii="Arial" w:hAnsi="Arial" w:cs="Arial"/>
        </w:rPr>
        <w:t xml:space="preserve"> approval</w:t>
      </w:r>
      <w:r w:rsidR="00521891" w:rsidRPr="00213CAD">
        <w:rPr>
          <w:rFonts w:ascii="Arial" w:hAnsi="Arial" w:cs="Arial"/>
        </w:rPr>
        <w:t xml:space="preserve"> as set out about with dual ED approval for exceptions</w:t>
      </w:r>
      <w:r w:rsidRPr="00213CAD">
        <w:rPr>
          <w:rFonts w:ascii="Arial" w:hAnsi="Arial" w:cs="Arial"/>
        </w:rPr>
        <w:t xml:space="preserve"> (in line with Board approved </w:t>
      </w:r>
      <w:r w:rsidR="00213CAD" w:rsidRPr="00213CAD">
        <w:rPr>
          <w:rFonts w:ascii="Arial" w:hAnsi="Arial" w:cs="Arial"/>
        </w:rPr>
        <w:t>COVID19 SFI changes</w:t>
      </w:r>
      <w:r w:rsidRPr="00213CAD">
        <w:rPr>
          <w:rFonts w:ascii="Arial" w:hAnsi="Arial" w:cs="Arial"/>
        </w:rPr>
        <w:t>)</w:t>
      </w:r>
      <w:r w:rsidRPr="00483679">
        <w:rPr>
          <w:rFonts w:ascii="Arial" w:hAnsi="Arial" w:cs="Arial"/>
        </w:rPr>
        <w:t xml:space="preserve"> for any required override of standard procurement SFIs – for example, when speed/availability and quality of supply considerations take precedence over ensuring best value for money through tendering contracts/obtaining a minimum number of quotes – with the following qualifications:</w:t>
      </w:r>
    </w:p>
    <w:p w14:paraId="183DCBB8" w14:textId="77777777" w:rsidR="00EC34CA" w:rsidRPr="00483679" w:rsidRDefault="00EC34CA" w:rsidP="00A513CA">
      <w:pPr>
        <w:pStyle w:val="ListParagraph"/>
        <w:numPr>
          <w:ilvl w:val="1"/>
          <w:numId w:val="7"/>
        </w:numPr>
        <w:spacing w:after="120"/>
        <w:ind w:left="1418" w:hanging="426"/>
        <w:contextualSpacing/>
        <w:jc w:val="both"/>
        <w:rPr>
          <w:rFonts w:ascii="Arial" w:hAnsi="Arial" w:cs="Arial"/>
        </w:rPr>
      </w:pPr>
      <w:r w:rsidRPr="00483679">
        <w:rPr>
          <w:rFonts w:ascii="Arial" w:hAnsi="Arial" w:cs="Arial"/>
        </w:rPr>
        <w:t>Utilisation of the existing supply chain where possible; and</w:t>
      </w:r>
    </w:p>
    <w:p w14:paraId="15BD1F53" w14:textId="77777777" w:rsidR="00EC34CA" w:rsidRPr="00483679" w:rsidRDefault="00EC34CA" w:rsidP="00A513CA">
      <w:pPr>
        <w:pStyle w:val="ListParagraph"/>
        <w:numPr>
          <w:ilvl w:val="1"/>
          <w:numId w:val="7"/>
        </w:numPr>
        <w:spacing w:after="120"/>
        <w:ind w:left="1418" w:hanging="426"/>
        <w:contextualSpacing/>
        <w:jc w:val="both"/>
        <w:rPr>
          <w:rFonts w:ascii="Arial" w:hAnsi="Arial" w:cs="Arial"/>
        </w:rPr>
      </w:pPr>
      <w:r w:rsidRPr="00483679">
        <w:rPr>
          <w:rFonts w:ascii="Arial" w:hAnsi="Arial" w:cs="Arial"/>
        </w:rPr>
        <w:t>Prohibiting commitments to procure supplies exclusively or for longer than a period of three months</w:t>
      </w:r>
      <w:r w:rsidR="00521891" w:rsidRPr="00483679">
        <w:rPr>
          <w:rFonts w:ascii="Arial" w:hAnsi="Arial" w:cs="Arial"/>
        </w:rPr>
        <w:t xml:space="preserve"> without </w:t>
      </w:r>
      <w:r w:rsidR="00594DCA" w:rsidRPr="00483679">
        <w:rPr>
          <w:rFonts w:ascii="Arial" w:hAnsi="Arial" w:cs="Arial"/>
        </w:rPr>
        <w:t xml:space="preserve">AO and </w:t>
      </w:r>
      <w:r w:rsidR="00521891" w:rsidRPr="00483679">
        <w:rPr>
          <w:rFonts w:ascii="Arial" w:hAnsi="Arial" w:cs="Arial"/>
        </w:rPr>
        <w:t>CFO approval</w:t>
      </w:r>
      <w:r w:rsidRPr="00483679">
        <w:rPr>
          <w:rFonts w:ascii="Arial" w:hAnsi="Arial" w:cs="Arial"/>
        </w:rPr>
        <w:t>;</w:t>
      </w:r>
    </w:p>
    <w:p w14:paraId="13675F96" w14:textId="77777777" w:rsidR="00521891" w:rsidRPr="00483679" w:rsidRDefault="00521891" w:rsidP="00A513CA">
      <w:pPr>
        <w:pStyle w:val="ListParagraph"/>
        <w:numPr>
          <w:ilvl w:val="1"/>
          <w:numId w:val="7"/>
        </w:numPr>
        <w:spacing w:after="120"/>
        <w:ind w:left="1417" w:hanging="425"/>
        <w:jc w:val="both"/>
        <w:rPr>
          <w:rFonts w:ascii="Arial" w:hAnsi="Arial" w:cs="Arial"/>
        </w:rPr>
      </w:pPr>
      <w:r w:rsidRPr="00483679">
        <w:rPr>
          <w:rFonts w:ascii="Arial" w:hAnsi="Arial" w:cs="Arial"/>
        </w:rPr>
        <w:t xml:space="preserve">All exceptions with </w:t>
      </w:r>
      <w:r w:rsidR="00594DCA" w:rsidRPr="00483679">
        <w:rPr>
          <w:rFonts w:ascii="Arial" w:hAnsi="Arial" w:cs="Arial"/>
        </w:rPr>
        <w:t xml:space="preserve">AO and </w:t>
      </w:r>
      <w:r w:rsidRPr="00483679">
        <w:rPr>
          <w:rFonts w:ascii="Arial" w:hAnsi="Arial" w:cs="Arial"/>
        </w:rPr>
        <w:t>CFO dual sign off will be reported to the Board</w:t>
      </w:r>
    </w:p>
    <w:p w14:paraId="7FCACC50" w14:textId="77777777" w:rsidR="00EC34CA" w:rsidRPr="00483679" w:rsidRDefault="00EC34CA" w:rsidP="00A513CA">
      <w:pPr>
        <w:pStyle w:val="ListParagraph"/>
        <w:numPr>
          <w:ilvl w:val="0"/>
          <w:numId w:val="7"/>
        </w:numPr>
        <w:spacing w:after="120"/>
        <w:ind w:left="992" w:hanging="425"/>
        <w:jc w:val="both"/>
        <w:rPr>
          <w:rFonts w:ascii="Arial" w:hAnsi="Arial" w:cs="Arial"/>
        </w:rPr>
      </w:pPr>
      <w:r w:rsidRPr="00483679">
        <w:rPr>
          <w:rFonts w:ascii="Arial" w:hAnsi="Arial" w:cs="Arial"/>
        </w:rPr>
        <w:t xml:space="preserve">Endeavouring to monitor COVID-19 related spend on a </w:t>
      </w:r>
      <w:r w:rsidR="00BD2751" w:rsidRPr="00483679">
        <w:rPr>
          <w:rFonts w:ascii="Arial" w:hAnsi="Arial" w:cs="Arial"/>
        </w:rPr>
        <w:t>weekly</w:t>
      </w:r>
      <w:r w:rsidRPr="00483679">
        <w:rPr>
          <w:rFonts w:ascii="Arial" w:hAnsi="Arial" w:cs="Arial"/>
        </w:rPr>
        <w:t xml:space="preserve"> basis (via reporting to the CFO) – including PO and invoice approval – to identify any suspicious transactional patterns (e.g. disproportionate, unjustified spend with a single supplier) in order to prevent further financial loss and to mitigate any losses incurred to date;</w:t>
      </w:r>
    </w:p>
    <w:p w14:paraId="220D1C90" w14:textId="77777777" w:rsidR="00EC34CA" w:rsidRPr="00483679" w:rsidRDefault="00EC34CA" w:rsidP="00A513CA">
      <w:pPr>
        <w:pStyle w:val="ListParagraph"/>
        <w:numPr>
          <w:ilvl w:val="0"/>
          <w:numId w:val="7"/>
        </w:numPr>
        <w:spacing w:after="120"/>
        <w:ind w:left="993" w:hanging="426"/>
        <w:contextualSpacing/>
        <w:jc w:val="both"/>
        <w:rPr>
          <w:rFonts w:ascii="Arial" w:hAnsi="Arial" w:cs="Arial"/>
        </w:rPr>
      </w:pPr>
      <w:r w:rsidRPr="00483679">
        <w:rPr>
          <w:rFonts w:ascii="Arial" w:hAnsi="Arial" w:cs="Arial"/>
        </w:rPr>
        <w:t xml:space="preserve">Continuing to place reliance on the </w:t>
      </w:r>
      <w:r w:rsidR="00BD2751" w:rsidRPr="00483679">
        <w:rPr>
          <w:rFonts w:ascii="Arial" w:hAnsi="Arial" w:cs="Arial"/>
        </w:rPr>
        <w:t>CCG</w:t>
      </w:r>
      <w:r w:rsidR="00594DCA" w:rsidRPr="00483679">
        <w:rPr>
          <w:rFonts w:ascii="Arial" w:hAnsi="Arial" w:cs="Arial"/>
        </w:rPr>
        <w:t>’</w:t>
      </w:r>
      <w:r w:rsidR="00BD2751" w:rsidRPr="00483679">
        <w:rPr>
          <w:rFonts w:ascii="Arial" w:hAnsi="Arial" w:cs="Arial"/>
        </w:rPr>
        <w:t>s</w:t>
      </w:r>
      <w:r w:rsidRPr="00483679">
        <w:rPr>
          <w:rFonts w:ascii="Arial" w:hAnsi="Arial" w:cs="Arial"/>
        </w:rPr>
        <w:t xml:space="preserve"> Finance and Accounting provider (NHS SBS) to mitigate any risk of fraudulent supplier set-up/amendment.</w:t>
      </w:r>
    </w:p>
    <w:p w14:paraId="6C0D91C2" w14:textId="77777777" w:rsidR="00EC34CA" w:rsidRPr="00483679" w:rsidRDefault="00BD2751" w:rsidP="00A513CA">
      <w:pPr>
        <w:spacing w:after="120" w:line="240" w:lineRule="auto"/>
        <w:ind w:left="567"/>
        <w:jc w:val="both"/>
        <w:rPr>
          <w:rFonts w:ascii="Arial" w:hAnsi="Arial" w:cs="Arial"/>
        </w:rPr>
      </w:pPr>
      <w:r w:rsidRPr="00483679">
        <w:rPr>
          <w:rFonts w:ascii="Arial" w:hAnsi="Arial" w:cs="Arial"/>
        </w:rPr>
        <w:t>The CCG</w:t>
      </w:r>
      <w:r w:rsidR="00EC34CA" w:rsidRPr="00483679">
        <w:rPr>
          <w:rFonts w:ascii="Arial" w:hAnsi="Arial" w:cs="Arial"/>
        </w:rPr>
        <w:t xml:space="preserve"> also acknowledges the increased risk of payroll fraud at this time, and will continue to enforce existing controls (refer to </w:t>
      </w:r>
      <w:r w:rsidRPr="00483679">
        <w:rPr>
          <w:rFonts w:ascii="Arial" w:hAnsi="Arial" w:cs="Arial"/>
        </w:rPr>
        <w:t>CCG</w:t>
      </w:r>
      <w:r w:rsidR="00EC34CA" w:rsidRPr="00483679">
        <w:rPr>
          <w:rFonts w:ascii="Arial" w:hAnsi="Arial" w:cs="Arial"/>
        </w:rPr>
        <w:t xml:space="preserve"> SFIs/standard policies and procedures) regarding:</w:t>
      </w:r>
    </w:p>
    <w:p w14:paraId="5F9DAA53" w14:textId="77777777" w:rsidR="00EC34CA" w:rsidRPr="00A513CA" w:rsidRDefault="00EC34CA" w:rsidP="00A513CA">
      <w:pPr>
        <w:pStyle w:val="ListParagraph"/>
        <w:numPr>
          <w:ilvl w:val="0"/>
          <w:numId w:val="20"/>
        </w:numPr>
        <w:spacing w:after="120"/>
        <w:ind w:left="993" w:hanging="426"/>
        <w:contextualSpacing/>
        <w:jc w:val="both"/>
        <w:rPr>
          <w:rFonts w:ascii="Arial" w:hAnsi="Arial" w:cs="Arial"/>
        </w:rPr>
      </w:pPr>
      <w:r w:rsidRPr="00A513CA">
        <w:rPr>
          <w:rFonts w:ascii="Arial" w:hAnsi="Arial" w:cs="Arial"/>
        </w:rPr>
        <w:t>Hiring temporary staff;</w:t>
      </w:r>
    </w:p>
    <w:p w14:paraId="3E9C0CE4" w14:textId="77777777" w:rsidR="00EC34CA" w:rsidRPr="00A513CA" w:rsidRDefault="00EC34CA" w:rsidP="00A513CA">
      <w:pPr>
        <w:pStyle w:val="ListParagraph"/>
        <w:numPr>
          <w:ilvl w:val="0"/>
          <w:numId w:val="20"/>
        </w:numPr>
        <w:spacing w:after="120"/>
        <w:ind w:left="993" w:hanging="426"/>
        <w:contextualSpacing/>
        <w:jc w:val="both"/>
        <w:rPr>
          <w:rFonts w:ascii="Arial" w:hAnsi="Arial" w:cs="Arial"/>
        </w:rPr>
      </w:pPr>
      <w:r w:rsidRPr="00A513CA">
        <w:rPr>
          <w:rFonts w:ascii="Arial" w:hAnsi="Arial" w:cs="Arial"/>
        </w:rPr>
        <w:t>Shift booking;</w:t>
      </w:r>
    </w:p>
    <w:p w14:paraId="03A75F66" w14:textId="77777777" w:rsidR="00EC34CA" w:rsidRPr="00A513CA" w:rsidRDefault="00EC34CA" w:rsidP="00A513CA">
      <w:pPr>
        <w:pStyle w:val="ListParagraph"/>
        <w:numPr>
          <w:ilvl w:val="0"/>
          <w:numId w:val="20"/>
        </w:numPr>
        <w:spacing w:after="120"/>
        <w:ind w:left="993" w:hanging="426"/>
        <w:contextualSpacing/>
        <w:jc w:val="both"/>
        <w:rPr>
          <w:rFonts w:ascii="Arial" w:hAnsi="Arial" w:cs="Arial"/>
        </w:rPr>
      </w:pPr>
      <w:r w:rsidRPr="00A513CA">
        <w:rPr>
          <w:rFonts w:ascii="Arial" w:hAnsi="Arial" w:cs="Arial"/>
        </w:rPr>
        <w:t>Timesheet approval;</w:t>
      </w:r>
    </w:p>
    <w:p w14:paraId="470373FE" w14:textId="77777777" w:rsidR="00EC34CA" w:rsidRPr="00A513CA" w:rsidRDefault="00EC34CA" w:rsidP="00A513CA">
      <w:pPr>
        <w:pStyle w:val="ListParagraph"/>
        <w:numPr>
          <w:ilvl w:val="0"/>
          <w:numId w:val="20"/>
        </w:numPr>
        <w:spacing w:after="120"/>
        <w:ind w:left="993" w:hanging="426"/>
        <w:contextualSpacing/>
        <w:jc w:val="both"/>
        <w:rPr>
          <w:rFonts w:ascii="Arial" w:hAnsi="Arial" w:cs="Arial"/>
        </w:rPr>
      </w:pPr>
      <w:r w:rsidRPr="00A513CA">
        <w:rPr>
          <w:rFonts w:ascii="Arial" w:hAnsi="Arial" w:cs="Arial"/>
        </w:rPr>
        <w:t>Payroll amendments;</w:t>
      </w:r>
    </w:p>
    <w:p w14:paraId="1BF54F83" w14:textId="23D624E0" w:rsidR="00C741F1" w:rsidRPr="00C741F1" w:rsidRDefault="00EC34CA" w:rsidP="00C741F1">
      <w:pPr>
        <w:pStyle w:val="ListParagraph"/>
        <w:numPr>
          <w:ilvl w:val="0"/>
          <w:numId w:val="20"/>
        </w:numPr>
        <w:spacing w:after="240"/>
        <w:ind w:left="992" w:hanging="425"/>
        <w:jc w:val="both"/>
        <w:rPr>
          <w:rFonts w:ascii="Arial" w:hAnsi="Arial" w:cs="Arial"/>
        </w:rPr>
      </w:pPr>
      <w:r w:rsidRPr="00A513CA">
        <w:rPr>
          <w:rFonts w:ascii="Arial" w:hAnsi="Arial" w:cs="Arial"/>
        </w:rPr>
        <w:t>Payroll processing (</w:t>
      </w:r>
      <w:r w:rsidR="007358F9" w:rsidRPr="00A513CA">
        <w:rPr>
          <w:rFonts w:ascii="Arial" w:hAnsi="Arial" w:cs="Arial"/>
        </w:rPr>
        <w:t xml:space="preserve">which is outsourced to </w:t>
      </w:r>
      <w:r w:rsidR="00E87CAE" w:rsidRPr="00A513CA">
        <w:rPr>
          <w:rFonts w:ascii="Arial" w:hAnsi="Arial" w:cs="Arial"/>
        </w:rPr>
        <w:t>NEL CSU</w:t>
      </w:r>
      <w:r w:rsidR="007358F9" w:rsidRPr="00A513CA">
        <w:rPr>
          <w:rFonts w:ascii="Arial" w:hAnsi="Arial" w:cs="Arial"/>
        </w:rPr>
        <w:t>)</w:t>
      </w:r>
    </w:p>
    <w:p w14:paraId="4698D4F6" w14:textId="30BC890C" w:rsidR="00C741F1" w:rsidRDefault="00C741F1" w:rsidP="00C741F1">
      <w:pPr>
        <w:pStyle w:val="ListParagraph"/>
        <w:spacing w:after="120"/>
        <w:ind w:left="567"/>
        <w:contextualSpacing/>
        <w:jc w:val="both"/>
        <w:rPr>
          <w:rFonts w:ascii="Arial" w:hAnsi="Arial" w:cs="Arial"/>
        </w:rPr>
      </w:pPr>
    </w:p>
    <w:p w14:paraId="4BE2673A" w14:textId="479EFC0E" w:rsidR="00C741F1" w:rsidRDefault="00C741F1" w:rsidP="00C741F1">
      <w:pPr>
        <w:pStyle w:val="ListParagraph"/>
        <w:spacing w:after="120"/>
        <w:ind w:left="567"/>
        <w:contextualSpacing/>
        <w:jc w:val="both"/>
        <w:rPr>
          <w:rFonts w:ascii="Arial" w:hAnsi="Arial" w:cs="Arial"/>
        </w:rPr>
      </w:pPr>
    </w:p>
    <w:p w14:paraId="393872B6" w14:textId="459590D9" w:rsidR="00C741F1" w:rsidRDefault="00C741F1" w:rsidP="00C741F1">
      <w:pPr>
        <w:pStyle w:val="ListParagraph"/>
        <w:spacing w:after="120"/>
        <w:ind w:left="567"/>
        <w:contextualSpacing/>
        <w:jc w:val="both"/>
        <w:rPr>
          <w:rFonts w:ascii="Arial" w:hAnsi="Arial" w:cs="Arial"/>
        </w:rPr>
      </w:pPr>
    </w:p>
    <w:p w14:paraId="15E2C1C8" w14:textId="3730CD2E" w:rsidR="00C741F1" w:rsidRDefault="00C741F1" w:rsidP="00C741F1">
      <w:pPr>
        <w:pStyle w:val="ListParagraph"/>
        <w:spacing w:after="120"/>
        <w:ind w:left="567"/>
        <w:contextualSpacing/>
        <w:jc w:val="both"/>
        <w:rPr>
          <w:rFonts w:ascii="Arial" w:hAnsi="Arial" w:cs="Arial"/>
        </w:rPr>
      </w:pPr>
    </w:p>
    <w:p w14:paraId="663C280A" w14:textId="2CD8E8AB" w:rsidR="00C741F1" w:rsidRDefault="00C741F1" w:rsidP="00C741F1">
      <w:pPr>
        <w:pStyle w:val="ListParagraph"/>
        <w:spacing w:after="120"/>
        <w:ind w:left="567"/>
        <w:contextualSpacing/>
        <w:jc w:val="both"/>
        <w:rPr>
          <w:rFonts w:ascii="Arial" w:hAnsi="Arial" w:cs="Arial"/>
        </w:rPr>
      </w:pPr>
    </w:p>
    <w:p w14:paraId="1862A437" w14:textId="1B429F62" w:rsidR="00C741F1" w:rsidRDefault="00C741F1" w:rsidP="00C741F1">
      <w:pPr>
        <w:pStyle w:val="ListParagraph"/>
        <w:spacing w:after="120"/>
        <w:ind w:left="567"/>
        <w:contextualSpacing/>
        <w:jc w:val="both"/>
        <w:rPr>
          <w:rFonts w:ascii="Arial" w:hAnsi="Arial" w:cs="Arial"/>
        </w:rPr>
      </w:pPr>
    </w:p>
    <w:p w14:paraId="65E93E6D" w14:textId="77777777" w:rsidR="00C741F1" w:rsidRPr="00C741F1" w:rsidRDefault="00C741F1" w:rsidP="00C741F1">
      <w:pPr>
        <w:pStyle w:val="ListParagraph"/>
        <w:spacing w:after="120"/>
        <w:ind w:left="567"/>
        <w:contextualSpacing/>
        <w:jc w:val="both"/>
        <w:rPr>
          <w:rFonts w:ascii="Arial" w:hAnsi="Arial" w:cs="Arial"/>
        </w:rPr>
      </w:pPr>
    </w:p>
    <w:p w14:paraId="24D7637F" w14:textId="2CF82464" w:rsidR="002601EE" w:rsidRPr="003A0AFD" w:rsidRDefault="002601EE" w:rsidP="002F34C5">
      <w:pPr>
        <w:pStyle w:val="ListParagraph"/>
        <w:numPr>
          <w:ilvl w:val="0"/>
          <w:numId w:val="4"/>
        </w:numPr>
        <w:spacing w:after="120"/>
        <w:ind w:left="567" w:hanging="567"/>
        <w:contextualSpacing/>
        <w:jc w:val="both"/>
        <w:rPr>
          <w:rFonts w:ascii="Arial" w:hAnsi="Arial" w:cs="Arial"/>
        </w:rPr>
      </w:pPr>
      <w:r w:rsidRPr="003A0AFD">
        <w:rPr>
          <w:rFonts w:ascii="Arial" w:hAnsi="Arial" w:cs="Arial"/>
          <w:b/>
        </w:rPr>
        <w:t>Counter Fraud Reporting</w:t>
      </w:r>
    </w:p>
    <w:p w14:paraId="562CA665" w14:textId="77777777" w:rsidR="00605BB2" w:rsidRPr="00605BB2" w:rsidRDefault="00605BB2" w:rsidP="00605BB2">
      <w:pPr>
        <w:pStyle w:val="NormalWeb"/>
        <w:spacing w:before="0" w:beforeAutospacing="0"/>
        <w:ind w:left="567"/>
        <w:rPr>
          <w:rFonts w:ascii="Arial" w:hAnsi="Arial" w:cs="Arial"/>
          <w:color w:val="212529"/>
          <w:sz w:val="22"/>
          <w:szCs w:val="22"/>
        </w:rPr>
      </w:pPr>
      <w:r w:rsidRPr="00605BB2">
        <w:rPr>
          <w:rFonts w:ascii="Arial" w:hAnsi="Arial" w:cs="Arial"/>
          <w:color w:val="212529"/>
          <w:sz w:val="22"/>
          <w:szCs w:val="22"/>
        </w:rPr>
        <w:t xml:space="preserve">Fraud and bribery within the NHS is not acceptable as these offences divert valuable resources </w:t>
      </w:r>
      <w:r>
        <w:rPr>
          <w:rFonts w:ascii="Arial" w:hAnsi="Arial" w:cs="Arial"/>
          <w:color w:val="212529"/>
          <w:sz w:val="22"/>
          <w:szCs w:val="22"/>
        </w:rPr>
        <w:t>away from patient care and put </w:t>
      </w:r>
      <w:r w:rsidRPr="00605BB2">
        <w:rPr>
          <w:rFonts w:ascii="Arial" w:hAnsi="Arial" w:cs="Arial"/>
          <w:color w:val="212529"/>
          <w:sz w:val="22"/>
          <w:szCs w:val="22"/>
        </w:rPr>
        <w:t xml:space="preserve">patients at risk. It is important that funds which are intended for healthcare are used as such; therefore the CCG takes a zero tolerance approach towards tackling fraud.  </w:t>
      </w:r>
    </w:p>
    <w:p w14:paraId="09F844B1" w14:textId="77777777" w:rsidR="00605BB2" w:rsidRPr="00605BB2" w:rsidRDefault="00605BB2" w:rsidP="00605BB2">
      <w:pPr>
        <w:pStyle w:val="NormalWeb"/>
        <w:spacing w:before="0" w:beforeAutospacing="0"/>
        <w:ind w:left="567"/>
        <w:rPr>
          <w:rFonts w:ascii="Arial" w:hAnsi="Arial" w:cs="Arial"/>
          <w:color w:val="212529"/>
          <w:sz w:val="22"/>
          <w:szCs w:val="22"/>
        </w:rPr>
      </w:pPr>
      <w:r w:rsidRPr="00605BB2">
        <w:rPr>
          <w:rFonts w:ascii="Arial" w:hAnsi="Arial" w:cs="Arial"/>
          <w:color w:val="212529"/>
          <w:sz w:val="22"/>
          <w:szCs w:val="22"/>
        </w:rPr>
        <w:t xml:space="preserve">The role of the Counter Fraud Team is to implement the NHS Counter Fraud strategy within the organisation and to investigate professionally, any suspicions of fraud or bribery that may arise. The NHS widely recognises that the vast majority of staff and patients are honest. Unfortunately however, there is a small minority against which action has to be taken against to reduce fraud to an absolute minimum. </w:t>
      </w:r>
    </w:p>
    <w:p w14:paraId="01193775" w14:textId="0892F4E2" w:rsidR="00EC7699" w:rsidRDefault="00605BB2" w:rsidP="00B242F5">
      <w:pPr>
        <w:spacing w:after="120" w:line="240" w:lineRule="auto"/>
        <w:ind w:left="567"/>
        <w:contextualSpacing/>
        <w:jc w:val="both"/>
        <w:rPr>
          <w:rFonts w:ascii="Arial" w:hAnsi="Arial" w:cs="Arial"/>
          <w:color w:val="212529"/>
        </w:rPr>
      </w:pPr>
      <w:r w:rsidRPr="00605BB2">
        <w:rPr>
          <w:rFonts w:ascii="Arial" w:hAnsi="Arial" w:cs="Arial"/>
          <w:color w:val="212529"/>
        </w:rPr>
        <w:t>Please refer to the Alert – COVID-19 Fraud Risk Response Plan</w:t>
      </w:r>
      <w:r w:rsidR="00A12715">
        <w:rPr>
          <w:rFonts w:ascii="Arial" w:hAnsi="Arial" w:cs="Arial"/>
          <w:color w:val="212529"/>
        </w:rPr>
        <w:t xml:space="preserve"> at Appendix 1</w:t>
      </w:r>
      <w:r w:rsidRPr="00605BB2">
        <w:rPr>
          <w:rFonts w:ascii="Arial" w:hAnsi="Arial" w:cs="Arial"/>
          <w:color w:val="212529"/>
        </w:rPr>
        <w:t xml:space="preserve"> for further information</w:t>
      </w:r>
      <w:r w:rsidR="00520434">
        <w:rPr>
          <w:rFonts w:ascii="Arial" w:hAnsi="Arial" w:cs="Arial"/>
          <w:color w:val="212529"/>
        </w:rPr>
        <w:t xml:space="preserve">.  </w:t>
      </w:r>
      <w:r w:rsidRPr="00605BB2">
        <w:rPr>
          <w:rFonts w:ascii="Arial" w:hAnsi="Arial" w:cs="Arial"/>
          <w:color w:val="212529"/>
        </w:rPr>
        <w:t>Please note that this includes contact details for Counter Fraud.</w:t>
      </w:r>
    </w:p>
    <w:p w14:paraId="41D9E1BF" w14:textId="5EB62F2E" w:rsidR="00520434" w:rsidRDefault="00520434" w:rsidP="00520434">
      <w:pPr>
        <w:spacing w:after="120" w:line="240" w:lineRule="auto"/>
        <w:contextualSpacing/>
        <w:jc w:val="both"/>
        <w:rPr>
          <w:rFonts w:ascii="Arial" w:hAnsi="Arial" w:cs="Arial"/>
          <w:color w:val="212529"/>
        </w:rPr>
      </w:pPr>
    </w:p>
    <w:p w14:paraId="4F188071" w14:textId="77777777" w:rsidR="007358F9" w:rsidRPr="003A0AFD" w:rsidRDefault="007358F9" w:rsidP="0056745F">
      <w:pPr>
        <w:pStyle w:val="ListParagraph"/>
        <w:numPr>
          <w:ilvl w:val="0"/>
          <w:numId w:val="4"/>
        </w:numPr>
        <w:spacing w:after="120"/>
        <w:ind w:left="567" w:hanging="567"/>
        <w:contextualSpacing/>
        <w:jc w:val="both"/>
        <w:rPr>
          <w:rFonts w:ascii="Arial" w:hAnsi="Arial" w:cs="Arial"/>
        </w:rPr>
      </w:pPr>
      <w:r w:rsidRPr="003A0AFD">
        <w:rPr>
          <w:rFonts w:ascii="Arial" w:hAnsi="Arial" w:cs="Arial"/>
          <w:b/>
        </w:rPr>
        <w:t>Internal Audit</w:t>
      </w:r>
    </w:p>
    <w:p w14:paraId="7A0440F2" w14:textId="77777777" w:rsidR="007358F9" w:rsidRPr="00483679" w:rsidRDefault="007358F9" w:rsidP="00A513CA">
      <w:pPr>
        <w:spacing w:after="120" w:line="240" w:lineRule="auto"/>
        <w:ind w:left="567"/>
        <w:contextualSpacing/>
        <w:jc w:val="both"/>
        <w:rPr>
          <w:rFonts w:ascii="Arial" w:hAnsi="Arial" w:cs="Arial"/>
        </w:rPr>
      </w:pPr>
      <w:r w:rsidRPr="00483679">
        <w:rPr>
          <w:rFonts w:ascii="Arial" w:hAnsi="Arial" w:cs="Arial"/>
        </w:rPr>
        <w:t xml:space="preserve">The CCG </w:t>
      </w:r>
      <w:r w:rsidR="00DB4747" w:rsidRPr="00483679">
        <w:rPr>
          <w:rFonts w:ascii="Arial" w:hAnsi="Arial" w:cs="Arial"/>
        </w:rPr>
        <w:t xml:space="preserve">Finance Team </w:t>
      </w:r>
      <w:r w:rsidRPr="00483679">
        <w:rPr>
          <w:rFonts w:ascii="Arial" w:hAnsi="Arial" w:cs="Arial"/>
        </w:rPr>
        <w:t>will work clo</w:t>
      </w:r>
      <w:r w:rsidR="00DB4747" w:rsidRPr="00483679">
        <w:rPr>
          <w:rFonts w:ascii="Arial" w:hAnsi="Arial" w:cs="Arial"/>
        </w:rPr>
        <w:t>sely with RSM internal audit to support ensuring good financial governance during this time.</w:t>
      </w:r>
    </w:p>
    <w:p w14:paraId="103C7236" w14:textId="77777777" w:rsidR="004F14A9" w:rsidRPr="00483679" w:rsidRDefault="004F14A9" w:rsidP="00626A98">
      <w:pPr>
        <w:spacing w:after="120" w:line="240" w:lineRule="auto"/>
        <w:contextualSpacing/>
        <w:jc w:val="both"/>
        <w:rPr>
          <w:rFonts w:ascii="Arial" w:hAnsi="Arial" w:cs="Arial"/>
        </w:rPr>
      </w:pPr>
    </w:p>
    <w:p w14:paraId="79F6437A" w14:textId="77777777" w:rsidR="00A513CA" w:rsidRDefault="00A513CA" w:rsidP="00626A98">
      <w:pPr>
        <w:spacing w:after="120" w:line="240" w:lineRule="auto"/>
        <w:contextualSpacing/>
        <w:jc w:val="both"/>
        <w:rPr>
          <w:rFonts w:ascii="Arial" w:hAnsi="Arial" w:cs="Arial"/>
          <w:b/>
        </w:rPr>
      </w:pPr>
    </w:p>
    <w:p w14:paraId="7787928F" w14:textId="77777777" w:rsidR="00A513CA" w:rsidRDefault="00A513CA" w:rsidP="00626A98">
      <w:pPr>
        <w:spacing w:after="120" w:line="240" w:lineRule="auto"/>
        <w:contextualSpacing/>
        <w:jc w:val="both"/>
        <w:rPr>
          <w:rFonts w:ascii="Arial" w:hAnsi="Arial" w:cs="Arial"/>
          <w:b/>
        </w:rPr>
      </w:pPr>
    </w:p>
    <w:p w14:paraId="270E5FE0" w14:textId="77777777" w:rsidR="00A513CA" w:rsidRDefault="00A513CA" w:rsidP="00626A98">
      <w:pPr>
        <w:spacing w:after="120" w:line="240" w:lineRule="auto"/>
        <w:contextualSpacing/>
        <w:jc w:val="both"/>
        <w:rPr>
          <w:rFonts w:ascii="Arial" w:hAnsi="Arial" w:cs="Arial"/>
          <w:b/>
        </w:rPr>
      </w:pPr>
    </w:p>
    <w:p w14:paraId="6D80EBD0" w14:textId="77777777" w:rsidR="00A513CA" w:rsidRDefault="00A513CA" w:rsidP="00626A98">
      <w:pPr>
        <w:spacing w:after="120" w:line="240" w:lineRule="auto"/>
        <w:contextualSpacing/>
        <w:jc w:val="both"/>
        <w:rPr>
          <w:rFonts w:ascii="Arial" w:hAnsi="Arial" w:cs="Arial"/>
          <w:b/>
        </w:rPr>
      </w:pPr>
    </w:p>
    <w:p w14:paraId="05E389CB" w14:textId="77777777" w:rsidR="00A513CA" w:rsidRDefault="00A513CA" w:rsidP="00626A98">
      <w:pPr>
        <w:spacing w:after="120" w:line="240" w:lineRule="auto"/>
        <w:contextualSpacing/>
        <w:jc w:val="both"/>
        <w:rPr>
          <w:rFonts w:ascii="Arial" w:hAnsi="Arial" w:cs="Arial"/>
          <w:b/>
        </w:rPr>
      </w:pPr>
    </w:p>
    <w:p w14:paraId="0529F4B6" w14:textId="77777777" w:rsidR="004F14A9" w:rsidRPr="00483679" w:rsidRDefault="004F14A9" w:rsidP="00626A98">
      <w:pPr>
        <w:spacing w:after="120" w:line="240" w:lineRule="auto"/>
        <w:contextualSpacing/>
        <w:jc w:val="both"/>
        <w:rPr>
          <w:rFonts w:ascii="Arial" w:hAnsi="Arial" w:cs="Arial"/>
          <w:b/>
        </w:rPr>
      </w:pPr>
      <w:r w:rsidRPr="00483679">
        <w:rPr>
          <w:rFonts w:ascii="Arial" w:hAnsi="Arial" w:cs="Arial"/>
          <w:b/>
        </w:rPr>
        <w:t>Version Control</w:t>
      </w:r>
    </w:p>
    <w:p w14:paraId="359D93EE" w14:textId="680C46DC" w:rsidR="004F14A9" w:rsidRDefault="004727A9" w:rsidP="00626A98">
      <w:pPr>
        <w:spacing w:after="120" w:line="240" w:lineRule="auto"/>
        <w:contextualSpacing/>
        <w:jc w:val="both"/>
        <w:rPr>
          <w:rFonts w:ascii="Arial" w:hAnsi="Arial" w:cs="Arial"/>
        </w:rPr>
      </w:pPr>
      <w:r>
        <w:rPr>
          <w:rFonts w:ascii="Arial" w:hAnsi="Arial" w:cs="Arial"/>
        </w:rPr>
        <w:t>Version:  1</w:t>
      </w:r>
    </w:p>
    <w:p w14:paraId="461D2B20" w14:textId="469865CF" w:rsidR="004727A9" w:rsidRPr="00483679" w:rsidRDefault="004727A9" w:rsidP="00626A98">
      <w:pPr>
        <w:spacing w:after="120" w:line="240" w:lineRule="auto"/>
        <w:contextualSpacing/>
        <w:jc w:val="both"/>
        <w:rPr>
          <w:rFonts w:ascii="Arial" w:hAnsi="Arial" w:cs="Arial"/>
        </w:rPr>
      </w:pPr>
      <w:r>
        <w:rPr>
          <w:rFonts w:ascii="Arial" w:hAnsi="Arial" w:cs="Arial"/>
        </w:rPr>
        <w:t>Approved by Governing Body on 23</w:t>
      </w:r>
      <w:r w:rsidRPr="004727A9">
        <w:rPr>
          <w:rFonts w:ascii="Arial" w:hAnsi="Arial" w:cs="Arial"/>
          <w:vertAlign w:val="superscript"/>
        </w:rPr>
        <w:t>rd</w:t>
      </w:r>
      <w:r>
        <w:rPr>
          <w:rFonts w:ascii="Arial" w:hAnsi="Arial" w:cs="Arial"/>
        </w:rPr>
        <w:t xml:space="preserve"> April 2020.</w:t>
      </w:r>
    </w:p>
    <w:p w14:paraId="6D4506D3" w14:textId="77777777" w:rsidR="008405E4" w:rsidRDefault="008405E4" w:rsidP="00C741F1">
      <w:pPr>
        <w:spacing w:after="120" w:line="240" w:lineRule="auto"/>
        <w:contextualSpacing/>
        <w:jc w:val="both"/>
        <w:rPr>
          <w:rFonts w:ascii="Arial" w:hAnsi="Arial" w:cs="Arial"/>
        </w:rPr>
      </w:pPr>
    </w:p>
    <w:p w14:paraId="0AD3C5CB" w14:textId="7957C234" w:rsidR="00C741F1" w:rsidRDefault="00C741F1" w:rsidP="00C741F1">
      <w:pPr>
        <w:spacing w:after="120" w:line="240" w:lineRule="auto"/>
        <w:contextualSpacing/>
        <w:jc w:val="both"/>
        <w:rPr>
          <w:rFonts w:ascii="Arial" w:hAnsi="Arial" w:cs="Arial"/>
        </w:rPr>
      </w:pPr>
    </w:p>
    <w:p w14:paraId="36C22D57" w14:textId="77777777" w:rsidR="00C741F1" w:rsidRPr="00483679" w:rsidRDefault="00C741F1" w:rsidP="00C741F1">
      <w:pPr>
        <w:spacing w:after="120" w:line="240" w:lineRule="auto"/>
        <w:contextualSpacing/>
        <w:jc w:val="both"/>
        <w:rPr>
          <w:rFonts w:ascii="Arial" w:hAnsi="Arial" w:cs="Arial"/>
        </w:rPr>
      </w:pPr>
    </w:p>
    <w:sectPr w:rsidR="00C741F1" w:rsidRPr="00483679" w:rsidSect="00626A98">
      <w:pgSz w:w="11906" w:h="16838"/>
      <w:pgMar w:top="720" w:right="1133" w:bottom="720" w:left="1134"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53E5CB" w16cid:durableId="222456F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45D2B"/>
    <w:multiLevelType w:val="hybridMultilevel"/>
    <w:tmpl w:val="0C6AB7C2"/>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1" w15:restartNumberingAfterBreak="0">
    <w:nsid w:val="08BA003F"/>
    <w:multiLevelType w:val="hybridMultilevel"/>
    <w:tmpl w:val="473E9FE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1E1A0C97"/>
    <w:multiLevelType w:val="hybridMultilevel"/>
    <w:tmpl w:val="66DA1C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1F1914"/>
    <w:multiLevelType w:val="hybridMultilevel"/>
    <w:tmpl w:val="89BA1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0851EA"/>
    <w:multiLevelType w:val="hybridMultilevel"/>
    <w:tmpl w:val="87B00E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BB4C2C"/>
    <w:multiLevelType w:val="hybridMultilevel"/>
    <w:tmpl w:val="B13867E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AC740B"/>
    <w:multiLevelType w:val="multilevel"/>
    <w:tmpl w:val="4D3C6D26"/>
    <w:lvl w:ilvl="0">
      <w:start w:val="1"/>
      <w:numFmt w:val="upp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8AE2CBE"/>
    <w:multiLevelType w:val="hybridMultilevel"/>
    <w:tmpl w:val="4462B7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F20B8C"/>
    <w:multiLevelType w:val="multilevel"/>
    <w:tmpl w:val="3794A996"/>
    <w:lvl w:ilvl="0">
      <w:start w:val="1"/>
      <w:numFmt w:val="decimal"/>
      <w:lvlText w:val="%1."/>
      <w:lvlJc w:val="left"/>
      <w:pPr>
        <w:ind w:left="502"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FC934FB"/>
    <w:multiLevelType w:val="multilevel"/>
    <w:tmpl w:val="5BAC589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49D09B9"/>
    <w:multiLevelType w:val="hybridMultilevel"/>
    <w:tmpl w:val="48A080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5FC1B86"/>
    <w:multiLevelType w:val="hybridMultilevel"/>
    <w:tmpl w:val="179C4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9A10AC"/>
    <w:multiLevelType w:val="hybridMultilevel"/>
    <w:tmpl w:val="8946A6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D17265F"/>
    <w:multiLevelType w:val="hybridMultilevel"/>
    <w:tmpl w:val="85BAD7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B7351A"/>
    <w:multiLevelType w:val="multilevel"/>
    <w:tmpl w:val="ABD0EA1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E2161C8"/>
    <w:multiLevelType w:val="multilevel"/>
    <w:tmpl w:val="F370A644"/>
    <w:lvl w:ilvl="0">
      <w:start w:val="1"/>
      <w:numFmt w:val="low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3747987"/>
    <w:multiLevelType w:val="hybridMultilevel"/>
    <w:tmpl w:val="EBAE2AB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74DB3A6D"/>
    <w:multiLevelType w:val="hybridMultilevel"/>
    <w:tmpl w:val="721E4FBC"/>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90328FF"/>
    <w:multiLevelType w:val="hybridMultilevel"/>
    <w:tmpl w:val="07104286"/>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7F6352B4"/>
    <w:multiLevelType w:val="multilevel"/>
    <w:tmpl w:val="096CB36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12"/>
  </w:num>
  <w:num w:numId="3">
    <w:abstractNumId w:val="11"/>
  </w:num>
  <w:num w:numId="4">
    <w:abstractNumId w:val="8"/>
  </w:num>
  <w:num w:numId="5">
    <w:abstractNumId w:val="6"/>
  </w:num>
  <w:num w:numId="6">
    <w:abstractNumId w:val="15"/>
  </w:num>
  <w:num w:numId="7">
    <w:abstractNumId w:val="13"/>
  </w:num>
  <w:num w:numId="8">
    <w:abstractNumId w:val="16"/>
  </w:num>
  <w:num w:numId="9">
    <w:abstractNumId w:val="10"/>
  </w:num>
  <w:num w:numId="10">
    <w:abstractNumId w:val="4"/>
  </w:num>
  <w:num w:numId="11">
    <w:abstractNumId w:val="2"/>
  </w:num>
  <w:num w:numId="12">
    <w:abstractNumId w:val="7"/>
  </w:num>
  <w:num w:numId="13">
    <w:abstractNumId w:val="3"/>
  </w:num>
  <w:num w:numId="14">
    <w:abstractNumId w:val="0"/>
  </w:num>
  <w:num w:numId="15">
    <w:abstractNumId w:val="5"/>
  </w:num>
  <w:num w:numId="16">
    <w:abstractNumId w:val="17"/>
  </w:num>
  <w:num w:numId="17">
    <w:abstractNumId w:val="14"/>
  </w:num>
  <w:num w:numId="18">
    <w:abstractNumId w:val="9"/>
  </w:num>
  <w:num w:numId="19">
    <w:abstractNumId w:val="18"/>
  </w:num>
  <w:num w:numId="20">
    <w:abstractNumId w:val="1"/>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ocumentProtection w:edit="trackedChange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FA6"/>
    <w:rsid w:val="000000C6"/>
    <w:rsid w:val="00003838"/>
    <w:rsid w:val="000112D2"/>
    <w:rsid w:val="00032500"/>
    <w:rsid w:val="000C4ECA"/>
    <w:rsid w:val="000C5A25"/>
    <w:rsid w:val="000C5F72"/>
    <w:rsid w:val="000E69D1"/>
    <w:rsid w:val="00101770"/>
    <w:rsid w:val="0013295E"/>
    <w:rsid w:val="00142F39"/>
    <w:rsid w:val="00144463"/>
    <w:rsid w:val="00147154"/>
    <w:rsid w:val="00151AAF"/>
    <w:rsid w:val="00173D1D"/>
    <w:rsid w:val="00194060"/>
    <w:rsid w:val="001B5094"/>
    <w:rsid w:val="001E1C46"/>
    <w:rsid w:val="002002C6"/>
    <w:rsid w:val="00213CAD"/>
    <w:rsid w:val="00215A3D"/>
    <w:rsid w:val="00221C69"/>
    <w:rsid w:val="0022760E"/>
    <w:rsid w:val="00232A2C"/>
    <w:rsid w:val="00241A24"/>
    <w:rsid w:val="00246FA6"/>
    <w:rsid w:val="002476F8"/>
    <w:rsid w:val="002601EE"/>
    <w:rsid w:val="002741F6"/>
    <w:rsid w:val="002A18CA"/>
    <w:rsid w:val="002B0423"/>
    <w:rsid w:val="002B53D6"/>
    <w:rsid w:val="002D7AF4"/>
    <w:rsid w:val="002E4C32"/>
    <w:rsid w:val="002F0B0D"/>
    <w:rsid w:val="003062E1"/>
    <w:rsid w:val="00311915"/>
    <w:rsid w:val="00314CCF"/>
    <w:rsid w:val="003266B1"/>
    <w:rsid w:val="0032797F"/>
    <w:rsid w:val="003610D0"/>
    <w:rsid w:val="003876B7"/>
    <w:rsid w:val="00391022"/>
    <w:rsid w:val="003A0AFD"/>
    <w:rsid w:val="003B4389"/>
    <w:rsid w:val="003D0C2F"/>
    <w:rsid w:val="003D195A"/>
    <w:rsid w:val="00407C4C"/>
    <w:rsid w:val="00436082"/>
    <w:rsid w:val="004649E0"/>
    <w:rsid w:val="004727A9"/>
    <w:rsid w:val="00472F49"/>
    <w:rsid w:val="004765F8"/>
    <w:rsid w:val="00480D86"/>
    <w:rsid w:val="00483679"/>
    <w:rsid w:val="00483F9E"/>
    <w:rsid w:val="004A0307"/>
    <w:rsid w:val="004C095C"/>
    <w:rsid w:val="004D2624"/>
    <w:rsid w:val="004F14A9"/>
    <w:rsid w:val="004F2A03"/>
    <w:rsid w:val="00516D86"/>
    <w:rsid w:val="00520434"/>
    <w:rsid w:val="00521891"/>
    <w:rsid w:val="00583E5F"/>
    <w:rsid w:val="00594DCA"/>
    <w:rsid w:val="005A4200"/>
    <w:rsid w:val="005E60A3"/>
    <w:rsid w:val="005F552E"/>
    <w:rsid w:val="00603CD6"/>
    <w:rsid w:val="00605BB2"/>
    <w:rsid w:val="006061BC"/>
    <w:rsid w:val="00621462"/>
    <w:rsid w:val="00626A98"/>
    <w:rsid w:val="0063123A"/>
    <w:rsid w:val="006363A0"/>
    <w:rsid w:val="00646774"/>
    <w:rsid w:val="0067396D"/>
    <w:rsid w:val="00673B82"/>
    <w:rsid w:val="006A0AC0"/>
    <w:rsid w:val="006A32A4"/>
    <w:rsid w:val="006A4B3A"/>
    <w:rsid w:val="006B7854"/>
    <w:rsid w:val="006C781A"/>
    <w:rsid w:val="00710285"/>
    <w:rsid w:val="00715824"/>
    <w:rsid w:val="00730197"/>
    <w:rsid w:val="007358F9"/>
    <w:rsid w:val="00775586"/>
    <w:rsid w:val="00783D56"/>
    <w:rsid w:val="007924B6"/>
    <w:rsid w:val="00796E55"/>
    <w:rsid w:val="007C5FFD"/>
    <w:rsid w:val="007C7CDF"/>
    <w:rsid w:val="007D5DF5"/>
    <w:rsid w:val="007F00B1"/>
    <w:rsid w:val="007F1FBD"/>
    <w:rsid w:val="007F4EF7"/>
    <w:rsid w:val="00822C0D"/>
    <w:rsid w:val="0083067C"/>
    <w:rsid w:val="00836ED1"/>
    <w:rsid w:val="008405E4"/>
    <w:rsid w:val="008617FB"/>
    <w:rsid w:val="00866793"/>
    <w:rsid w:val="008B6C80"/>
    <w:rsid w:val="008D2D4A"/>
    <w:rsid w:val="008D7EA9"/>
    <w:rsid w:val="00900AFC"/>
    <w:rsid w:val="009021A8"/>
    <w:rsid w:val="009546F7"/>
    <w:rsid w:val="00955D60"/>
    <w:rsid w:val="00956C30"/>
    <w:rsid w:val="00975187"/>
    <w:rsid w:val="009754F3"/>
    <w:rsid w:val="009A3EA0"/>
    <w:rsid w:val="009B0731"/>
    <w:rsid w:val="009F4CC0"/>
    <w:rsid w:val="009F5879"/>
    <w:rsid w:val="00A12715"/>
    <w:rsid w:val="00A1432C"/>
    <w:rsid w:val="00A336B4"/>
    <w:rsid w:val="00A42A56"/>
    <w:rsid w:val="00A513CA"/>
    <w:rsid w:val="00A75711"/>
    <w:rsid w:val="00A80EEC"/>
    <w:rsid w:val="00A83B0E"/>
    <w:rsid w:val="00A91B11"/>
    <w:rsid w:val="00A91C1F"/>
    <w:rsid w:val="00AA1BC1"/>
    <w:rsid w:val="00AF3B79"/>
    <w:rsid w:val="00AF75A8"/>
    <w:rsid w:val="00B161F1"/>
    <w:rsid w:val="00B22DF4"/>
    <w:rsid w:val="00B242F5"/>
    <w:rsid w:val="00B360C3"/>
    <w:rsid w:val="00B408B9"/>
    <w:rsid w:val="00B62072"/>
    <w:rsid w:val="00B6509D"/>
    <w:rsid w:val="00B718DB"/>
    <w:rsid w:val="00B8509E"/>
    <w:rsid w:val="00B951B2"/>
    <w:rsid w:val="00BC5797"/>
    <w:rsid w:val="00BD2751"/>
    <w:rsid w:val="00BF7157"/>
    <w:rsid w:val="00C03042"/>
    <w:rsid w:val="00C03346"/>
    <w:rsid w:val="00C14FFD"/>
    <w:rsid w:val="00C15FBC"/>
    <w:rsid w:val="00C20218"/>
    <w:rsid w:val="00C20331"/>
    <w:rsid w:val="00C21AD2"/>
    <w:rsid w:val="00C22BA4"/>
    <w:rsid w:val="00C461A2"/>
    <w:rsid w:val="00C71C11"/>
    <w:rsid w:val="00C741F1"/>
    <w:rsid w:val="00C95371"/>
    <w:rsid w:val="00CA0295"/>
    <w:rsid w:val="00CA1CA6"/>
    <w:rsid w:val="00CA373F"/>
    <w:rsid w:val="00CB74E6"/>
    <w:rsid w:val="00CB7E24"/>
    <w:rsid w:val="00CF51F5"/>
    <w:rsid w:val="00CF77E3"/>
    <w:rsid w:val="00D12340"/>
    <w:rsid w:val="00D1304D"/>
    <w:rsid w:val="00D16F7A"/>
    <w:rsid w:val="00D24C9B"/>
    <w:rsid w:val="00D373E9"/>
    <w:rsid w:val="00D42020"/>
    <w:rsid w:val="00D44023"/>
    <w:rsid w:val="00D61013"/>
    <w:rsid w:val="00D858ED"/>
    <w:rsid w:val="00DB4747"/>
    <w:rsid w:val="00DD4BBD"/>
    <w:rsid w:val="00DF147C"/>
    <w:rsid w:val="00E2035F"/>
    <w:rsid w:val="00E403ED"/>
    <w:rsid w:val="00E43329"/>
    <w:rsid w:val="00E733DD"/>
    <w:rsid w:val="00E7472F"/>
    <w:rsid w:val="00E771E4"/>
    <w:rsid w:val="00E77D70"/>
    <w:rsid w:val="00E87CAE"/>
    <w:rsid w:val="00E965C9"/>
    <w:rsid w:val="00EB7630"/>
    <w:rsid w:val="00EC3305"/>
    <w:rsid w:val="00EC34CA"/>
    <w:rsid w:val="00EC534B"/>
    <w:rsid w:val="00EC7699"/>
    <w:rsid w:val="00ED3369"/>
    <w:rsid w:val="00EE7FC0"/>
    <w:rsid w:val="00F07A23"/>
    <w:rsid w:val="00F470CB"/>
    <w:rsid w:val="00FA08A9"/>
    <w:rsid w:val="00FB1717"/>
    <w:rsid w:val="00FB6BE3"/>
    <w:rsid w:val="00FC1D4D"/>
    <w:rsid w:val="00FD2F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31E4D"/>
  <w15:chartTrackingRefBased/>
  <w15:docId w15:val="{7524BEDF-7362-4C4D-AE40-CECC4E749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FA6"/>
    <w:pPr>
      <w:spacing w:after="0" w:line="240" w:lineRule="auto"/>
      <w:ind w:left="720"/>
    </w:pPr>
    <w:rPr>
      <w:rFonts w:ascii="Calibri" w:hAnsi="Calibri" w:cs="Calibri"/>
      <w:lang w:eastAsia="en-GB"/>
    </w:rPr>
  </w:style>
  <w:style w:type="character" w:styleId="Hyperlink">
    <w:name w:val="Hyperlink"/>
    <w:basedOn w:val="DefaultParagraphFont"/>
    <w:uiPriority w:val="99"/>
    <w:unhideWhenUsed/>
    <w:rsid w:val="009546F7"/>
    <w:rPr>
      <w:color w:val="0563C1" w:themeColor="hyperlink"/>
      <w:u w:val="single"/>
    </w:rPr>
  </w:style>
  <w:style w:type="character" w:customStyle="1" w:styleId="UnresolvedMention">
    <w:name w:val="Unresolved Mention"/>
    <w:basedOn w:val="DefaultParagraphFont"/>
    <w:uiPriority w:val="99"/>
    <w:semiHidden/>
    <w:unhideWhenUsed/>
    <w:rsid w:val="009546F7"/>
    <w:rPr>
      <w:color w:val="605E5C"/>
      <w:shd w:val="clear" w:color="auto" w:fill="E1DFDD"/>
    </w:rPr>
  </w:style>
  <w:style w:type="character" w:styleId="CommentReference">
    <w:name w:val="annotation reference"/>
    <w:basedOn w:val="DefaultParagraphFont"/>
    <w:uiPriority w:val="99"/>
    <w:semiHidden/>
    <w:unhideWhenUsed/>
    <w:rsid w:val="00314CCF"/>
    <w:rPr>
      <w:sz w:val="16"/>
      <w:szCs w:val="16"/>
    </w:rPr>
  </w:style>
  <w:style w:type="paragraph" w:styleId="CommentText">
    <w:name w:val="annotation text"/>
    <w:basedOn w:val="Normal"/>
    <w:link w:val="CommentTextChar"/>
    <w:uiPriority w:val="99"/>
    <w:unhideWhenUsed/>
    <w:rsid w:val="00314CCF"/>
    <w:pPr>
      <w:spacing w:line="240" w:lineRule="auto"/>
    </w:pPr>
    <w:rPr>
      <w:sz w:val="20"/>
      <w:szCs w:val="20"/>
    </w:rPr>
  </w:style>
  <w:style w:type="character" w:customStyle="1" w:styleId="CommentTextChar">
    <w:name w:val="Comment Text Char"/>
    <w:basedOn w:val="DefaultParagraphFont"/>
    <w:link w:val="CommentText"/>
    <w:uiPriority w:val="99"/>
    <w:rsid w:val="00314CCF"/>
    <w:rPr>
      <w:sz w:val="20"/>
      <w:szCs w:val="20"/>
    </w:rPr>
  </w:style>
  <w:style w:type="paragraph" w:styleId="CommentSubject">
    <w:name w:val="annotation subject"/>
    <w:basedOn w:val="CommentText"/>
    <w:next w:val="CommentText"/>
    <w:link w:val="CommentSubjectChar"/>
    <w:uiPriority w:val="99"/>
    <w:semiHidden/>
    <w:unhideWhenUsed/>
    <w:rsid w:val="00314CCF"/>
    <w:rPr>
      <w:b/>
      <w:bCs/>
    </w:rPr>
  </w:style>
  <w:style w:type="character" w:customStyle="1" w:styleId="CommentSubjectChar">
    <w:name w:val="Comment Subject Char"/>
    <w:basedOn w:val="CommentTextChar"/>
    <w:link w:val="CommentSubject"/>
    <w:uiPriority w:val="99"/>
    <w:semiHidden/>
    <w:rsid w:val="00314CCF"/>
    <w:rPr>
      <w:b/>
      <w:bCs/>
      <w:sz w:val="20"/>
      <w:szCs w:val="20"/>
    </w:rPr>
  </w:style>
  <w:style w:type="paragraph" w:styleId="BalloonText">
    <w:name w:val="Balloon Text"/>
    <w:basedOn w:val="Normal"/>
    <w:link w:val="BalloonTextChar"/>
    <w:uiPriority w:val="99"/>
    <w:semiHidden/>
    <w:unhideWhenUsed/>
    <w:rsid w:val="00314C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CCF"/>
    <w:rPr>
      <w:rFonts w:ascii="Segoe UI" w:hAnsi="Segoe UI" w:cs="Segoe UI"/>
      <w:sz w:val="18"/>
      <w:szCs w:val="18"/>
    </w:rPr>
  </w:style>
  <w:style w:type="paragraph" w:styleId="Revision">
    <w:name w:val="Revision"/>
    <w:hidden/>
    <w:uiPriority w:val="99"/>
    <w:semiHidden/>
    <w:rsid w:val="005A4200"/>
    <w:pPr>
      <w:spacing w:after="0" w:line="240" w:lineRule="auto"/>
    </w:pPr>
  </w:style>
  <w:style w:type="paragraph" w:customStyle="1" w:styleId="Default">
    <w:name w:val="Default"/>
    <w:rsid w:val="00C03346"/>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A33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05BB2"/>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771391">
      <w:bodyDiv w:val="1"/>
      <w:marLeft w:val="0"/>
      <w:marRight w:val="0"/>
      <w:marTop w:val="0"/>
      <w:marBottom w:val="0"/>
      <w:divBdr>
        <w:top w:val="none" w:sz="0" w:space="0" w:color="auto"/>
        <w:left w:val="none" w:sz="0" w:space="0" w:color="auto"/>
        <w:bottom w:val="none" w:sz="0" w:space="0" w:color="auto"/>
        <w:right w:val="none" w:sz="0" w:space="0" w:color="auto"/>
      </w:divBdr>
    </w:div>
    <w:div w:id="1426462139">
      <w:bodyDiv w:val="1"/>
      <w:marLeft w:val="0"/>
      <w:marRight w:val="0"/>
      <w:marTop w:val="0"/>
      <w:marBottom w:val="0"/>
      <w:divBdr>
        <w:top w:val="none" w:sz="0" w:space="0" w:color="auto"/>
        <w:left w:val="none" w:sz="0" w:space="0" w:color="auto"/>
        <w:bottom w:val="none" w:sz="0" w:space="0" w:color="auto"/>
        <w:right w:val="none" w:sz="0" w:space="0" w:color="auto"/>
      </w:divBdr>
    </w:div>
    <w:div w:id="1641227575">
      <w:bodyDiv w:val="1"/>
      <w:marLeft w:val="0"/>
      <w:marRight w:val="0"/>
      <w:marTop w:val="0"/>
      <w:marBottom w:val="0"/>
      <w:divBdr>
        <w:top w:val="none" w:sz="0" w:space="0" w:color="auto"/>
        <w:left w:val="none" w:sz="0" w:space="0" w:color="auto"/>
        <w:bottom w:val="none" w:sz="0" w:space="0" w:color="auto"/>
        <w:right w:val="none" w:sz="0" w:space="0" w:color="auto"/>
      </w:divBdr>
      <w:divsChild>
        <w:div w:id="519051612">
          <w:marLeft w:val="0"/>
          <w:marRight w:val="0"/>
          <w:marTop w:val="0"/>
          <w:marBottom w:val="0"/>
          <w:divBdr>
            <w:top w:val="none" w:sz="0" w:space="0" w:color="auto"/>
            <w:left w:val="none" w:sz="0" w:space="0" w:color="auto"/>
            <w:bottom w:val="none" w:sz="0" w:space="0" w:color="auto"/>
            <w:right w:val="none" w:sz="0" w:space="0" w:color="auto"/>
          </w:divBdr>
        </w:div>
      </w:divsChild>
    </w:div>
    <w:div w:id="1665471802">
      <w:bodyDiv w:val="1"/>
      <w:marLeft w:val="0"/>
      <w:marRight w:val="0"/>
      <w:marTop w:val="0"/>
      <w:marBottom w:val="0"/>
      <w:divBdr>
        <w:top w:val="none" w:sz="0" w:space="0" w:color="auto"/>
        <w:left w:val="none" w:sz="0" w:space="0" w:color="auto"/>
        <w:bottom w:val="none" w:sz="0" w:space="0" w:color="auto"/>
        <w:right w:val="none" w:sz="0" w:space="0" w:color="auto"/>
      </w:divBdr>
    </w:div>
    <w:div w:id="1739788270">
      <w:bodyDiv w:val="1"/>
      <w:marLeft w:val="0"/>
      <w:marRight w:val="0"/>
      <w:marTop w:val="0"/>
      <w:marBottom w:val="0"/>
      <w:divBdr>
        <w:top w:val="none" w:sz="0" w:space="0" w:color="auto"/>
        <w:left w:val="none" w:sz="0" w:space="0" w:color="auto"/>
        <w:bottom w:val="none" w:sz="0" w:space="0" w:color="auto"/>
        <w:right w:val="none" w:sz="0" w:space="0" w:color="auto"/>
      </w:divBdr>
    </w:div>
    <w:div w:id="1907570076">
      <w:bodyDiv w:val="1"/>
      <w:marLeft w:val="0"/>
      <w:marRight w:val="0"/>
      <w:marTop w:val="0"/>
      <w:marBottom w:val="0"/>
      <w:divBdr>
        <w:top w:val="none" w:sz="0" w:space="0" w:color="auto"/>
        <w:left w:val="none" w:sz="0" w:space="0" w:color="auto"/>
        <w:bottom w:val="none" w:sz="0" w:space="0" w:color="auto"/>
        <w:right w:val="none" w:sz="0" w:space="0" w:color="auto"/>
      </w:divBdr>
    </w:div>
    <w:div w:id="1997103948">
      <w:bodyDiv w:val="1"/>
      <w:marLeft w:val="0"/>
      <w:marRight w:val="0"/>
      <w:marTop w:val="0"/>
      <w:marBottom w:val="0"/>
      <w:divBdr>
        <w:top w:val="none" w:sz="0" w:space="0" w:color="auto"/>
        <w:left w:val="none" w:sz="0" w:space="0" w:color="auto"/>
        <w:bottom w:val="none" w:sz="0" w:space="0" w:color="auto"/>
        <w:right w:val="none" w:sz="0" w:space="0" w:color="auto"/>
      </w:divBdr>
    </w:div>
    <w:div w:id="213590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PowerPoint_Presentation.pptx"/><Relationship Id="rId13" Type="http://schemas.openxmlformats.org/officeDocument/2006/relationships/package" Target="embeddings/Microsoft_Word_Document1.docx"/><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package" Target="embeddings/Microsoft_Excel_Worksheet.xlsx"/><Relationship Id="rId1" Type="http://schemas.openxmlformats.org/officeDocument/2006/relationships/customXml" Target="../customXml/item1.xml"/><Relationship Id="rId6" Type="http://schemas.openxmlformats.org/officeDocument/2006/relationships/hyperlink" Target="mailto:nelcsu.strategicprocurement@nhs.net" TargetMode="External"/><Relationship Id="rId11" Type="http://schemas.openxmlformats.org/officeDocument/2006/relationships/package" Target="embeddings/Microsoft_Word_Document.docx"/><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NHSSBSHelpdesk@rmh.nhs.uk" TargetMode="External"/><Relationship Id="rId14" Type="http://schemas.openxmlformats.org/officeDocument/2006/relationships/hyperlink" Target="mailto:nclchangeprogrammes@nhs.net" TargetMode="Externa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7BC18-F46C-4207-9914-52539822C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2739</Words>
  <Characters>15618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The Royal Marsden Hospital (NHS Foundation Trust)</Company>
  <LinksUpToDate>false</LinksUpToDate>
  <CharactersWithSpaces>18321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Laragh Walton</dc:creator>
  <cp:keywords/>
  <dc:description/>
  <cp:lastModifiedBy>Ebert, Steven</cp:lastModifiedBy>
  <cp:revision>2</cp:revision>
  <cp:lastPrinted>2020-04-01T16:33:00Z</cp:lastPrinted>
  <dcterms:created xsi:type="dcterms:W3CDTF">2020-05-22T09:36:00Z</dcterms:created>
  <dcterms:modified xsi:type="dcterms:W3CDTF">2020-05-22T09:36:00Z</dcterms:modified>
</cp:coreProperties>
</file>